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80E1" w14:textId="172E953C" w:rsidR="001219D5" w:rsidRPr="001219D5" w:rsidRDefault="00AE494C" w:rsidP="001219D5">
      <w:pPr>
        <w:jc w:val="center"/>
        <w:rPr>
          <w:rFonts w:ascii="Calibri" w:eastAsia="MS Mincho" w:hAnsi="Calibri" w:cs="Times New Roman"/>
          <w:b/>
          <w:bCs/>
          <w:sz w:val="32"/>
          <w:szCs w:val="32"/>
        </w:rPr>
      </w:pPr>
      <w:r>
        <w:rPr>
          <w:rFonts w:ascii="Calibri" w:eastAsia="MS Mincho" w:hAnsi="Calibri" w:cs="Times New Roman"/>
          <w:b/>
          <w:bCs/>
          <w:sz w:val="32"/>
          <w:szCs w:val="32"/>
        </w:rPr>
        <w:t>Financial Life Stages</w:t>
      </w:r>
    </w:p>
    <w:p w14:paraId="47921B48" w14:textId="7A8E2F56" w:rsidR="001219D5" w:rsidRPr="001219D5" w:rsidRDefault="00AE494C" w:rsidP="00E752CD">
      <w:pPr>
        <w:rPr>
          <w:rFonts w:ascii="Calibri" w:eastAsia="MS Mincho" w:hAnsi="Calibri" w:cs="Times New Roman"/>
          <w:b/>
          <w:bCs/>
          <w:sz w:val="24"/>
          <w:szCs w:val="24"/>
        </w:rPr>
      </w:pPr>
      <w:r>
        <w:rPr>
          <w:rFonts w:ascii="Calibri" w:eastAsia="MS Mincho" w:hAnsi="Calibri" w:cs="Times New Roman"/>
          <w:b/>
          <w:bCs/>
          <w:sz w:val="24"/>
          <w:szCs w:val="24"/>
        </w:rPr>
        <w:t>Most individuals past through three (3) primary financial life stages as they age</w:t>
      </w:r>
      <w:r w:rsidR="009A138A">
        <w:rPr>
          <w:rFonts w:ascii="Calibri" w:eastAsia="MS Mincho" w:hAnsi="Calibri" w:cs="Times New Roman"/>
          <w:b/>
          <w:bCs/>
          <w:sz w:val="24"/>
          <w:szCs w:val="24"/>
        </w:rPr>
        <w:t>.</w:t>
      </w:r>
      <w:r>
        <w:rPr>
          <w:rFonts w:ascii="Calibri" w:eastAsia="MS Mincho" w:hAnsi="Calibri" w:cs="Times New Roman"/>
          <w:b/>
          <w:bCs/>
          <w:sz w:val="24"/>
          <w:szCs w:val="24"/>
        </w:rPr>
        <w:t xml:space="preserve">  Income levels, spending patterns, family situations and areas of financial concern, are not exactly predictable, but tend to follow a pattern.</w:t>
      </w:r>
    </w:p>
    <w:tbl>
      <w:tblPr>
        <w:tblW w:w="13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700"/>
        <w:gridCol w:w="3690"/>
        <w:gridCol w:w="236"/>
        <w:gridCol w:w="1890"/>
        <w:gridCol w:w="1620"/>
      </w:tblGrid>
      <w:tr w:rsidR="001219D5" w:rsidRPr="001219D5" w14:paraId="4050A42A" w14:textId="77777777" w:rsidTr="00AE494C">
        <w:trPr>
          <w:trHeight w:val="637"/>
          <w:tblHeader/>
        </w:trPr>
        <w:tc>
          <w:tcPr>
            <w:tcW w:w="3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6BBA" w14:textId="74448BB5" w:rsidR="001219D5" w:rsidRPr="001219D5" w:rsidRDefault="00AE494C" w:rsidP="001219D5">
            <w:pP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  <w:t>LIFE STAGE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9EDB" w14:textId="52ECD99A" w:rsidR="001219D5" w:rsidRPr="001219D5" w:rsidRDefault="00AE494C" w:rsidP="001219D5">
            <w:pP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  <w:t>LIFE EVENTS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FAB1" w14:textId="5982CFA0" w:rsidR="001219D5" w:rsidRPr="001219D5" w:rsidRDefault="00AE494C" w:rsidP="001219D5">
            <w:pP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  <w:t>FINANCIAL EVENTS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4EE9" w14:textId="2E77D610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0E222F18" w14:textId="33891F05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50755527" w14:textId="5085AEA0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8"/>
                <w:szCs w:val="28"/>
              </w:rPr>
            </w:pPr>
          </w:p>
        </w:tc>
      </w:tr>
      <w:tr w:rsidR="001219D5" w:rsidRPr="001219D5" w14:paraId="17788BEA" w14:textId="77777777" w:rsidTr="00AE494C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C7C8" w14:textId="4B7B11E8" w:rsidR="001219D5" w:rsidRPr="00AE494C" w:rsidRDefault="00AE494C" w:rsidP="00AE494C">
            <w:pPr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Stage One</w:t>
            </w:r>
          </w:p>
          <w:p w14:paraId="2F1B2C68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6DC2" w14:textId="77777777" w:rsidR="001219D5" w:rsidRDefault="00AE494C" w:rsidP="001219D5">
            <w:pPr>
              <w:numPr>
                <w:ilvl w:val="0"/>
                <w:numId w:val="3"/>
              </w:numPr>
              <w:contextualSpacing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Enter the workforce</w:t>
            </w:r>
          </w:p>
          <w:p w14:paraId="2FE4523D" w14:textId="77777777" w:rsidR="00AE494C" w:rsidRDefault="00AE494C" w:rsidP="001219D5">
            <w:pPr>
              <w:numPr>
                <w:ilvl w:val="0"/>
                <w:numId w:val="3"/>
              </w:numPr>
              <w:contextualSpacing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Marriage</w:t>
            </w:r>
          </w:p>
          <w:p w14:paraId="0C688893" w14:textId="661B32D0" w:rsidR="00AE494C" w:rsidRPr="001219D5" w:rsidRDefault="00AE494C" w:rsidP="001219D5">
            <w:pPr>
              <w:numPr>
                <w:ilvl w:val="0"/>
                <w:numId w:val="3"/>
              </w:numPr>
              <w:contextualSpacing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Children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D767" w14:textId="77777777" w:rsidR="00AE494C" w:rsidRDefault="00AE494C" w:rsidP="00AE494C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 w:rsidRPr="00AE494C"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Develop financial habits</w:t>
            </w:r>
          </w:p>
          <w:p w14:paraId="7F97754C" w14:textId="77777777" w:rsidR="00AE494C" w:rsidRDefault="00AE494C" w:rsidP="00AE494C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Purchase car</w:t>
            </w:r>
          </w:p>
          <w:p w14:paraId="214C3337" w14:textId="04D65A89" w:rsidR="00AE494C" w:rsidRPr="00AE494C" w:rsidRDefault="00AE494C" w:rsidP="00AE494C">
            <w:pPr>
              <w:pStyle w:val="ListParagraph"/>
              <w:numPr>
                <w:ilvl w:val="0"/>
                <w:numId w:val="3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Purchase home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38B4" w14:textId="73855874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58FE33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1CB5D4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29635E91" w14:textId="77777777" w:rsidTr="00AE494C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5A44" w14:textId="12D7077B" w:rsidR="001219D5" w:rsidRPr="00AE494C" w:rsidRDefault="00AE494C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 w:rsidRPr="00AE494C"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Stage Two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8F0A" w14:textId="77777777" w:rsidR="001219D5" w:rsidRPr="00AE494C" w:rsidRDefault="00AE494C" w:rsidP="00AE49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Family grows</w:t>
            </w:r>
          </w:p>
          <w:p w14:paraId="515963AC" w14:textId="77777777" w:rsidR="00AE494C" w:rsidRPr="00AE494C" w:rsidRDefault="00AE494C" w:rsidP="00AE49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Career Advancement</w:t>
            </w:r>
          </w:p>
          <w:p w14:paraId="65C6AAA9" w14:textId="27B67334" w:rsidR="00AE494C" w:rsidRPr="00AE494C" w:rsidRDefault="00AE494C" w:rsidP="00AE49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Inheritance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9F76" w14:textId="77777777" w:rsidR="001219D5" w:rsidRDefault="00AE494C" w:rsidP="00AE494C">
            <w:pPr>
              <w:pStyle w:val="ListParagraph"/>
              <w:numPr>
                <w:ilvl w:val="0"/>
                <w:numId w:val="8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More home purchase</w:t>
            </w:r>
          </w:p>
          <w:p w14:paraId="053287EF" w14:textId="77777777" w:rsidR="00AE494C" w:rsidRDefault="00AE494C" w:rsidP="00AE494C">
            <w:pPr>
              <w:pStyle w:val="ListParagraph"/>
              <w:numPr>
                <w:ilvl w:val="0"/>
                <w:numId w:val="8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Accumulation of wealth</w:t>
            </w:r>
          </w:p>
          <w:p w14:paraId="118E0B1C" w14:textId="0567FED7" w:rsidR="00AE494C" w:rsidRPr="00AE494C" w:rsidRDefault="00AE494C" w:rsidP="00AE494C">
            <w:pPr>
              <w:pStyle w:val="ListParagraph"/>
              <w:numPr>
                <w:ilvl w:val="0"/>
                <w:numId w:val="8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Funding college education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5333" w14:textId="59BD7D9E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AEB7F3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D3B8BF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28940C70" w14:textId="77777777" w:rsidTr="00AE494C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C5F4" w14:textId="6B6727C0" w:rsidR="001219D5" w:rsidRPr="001219D5" w:rsidRDefault="00AE494C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Stage Three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7863" w14:textId="77777777" w:rsidR="001219D5" w:rsidRDefault="00AE494C" w:rsidP="001219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Major promotion</w:t>
            </w:r>
          </w:p>
          <w:p w14:paraId="6971CC75" w14:textId="77777777" w:rsidR="00AE494C" w:rsidRDefault="00AE494C" w:rsidP="001219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Retirement</w:t>
            </w:r>
          </w:p>
          <w:p w14:paraId="0A34601E" w14:textId="77777777" w:rsidR="00AE494C" w:rsidRDefault="00AE494C" w:rsidP="001219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Grandchildren</w:t>
            </w:r>
          </w:p>
          <w:p w14:paraId="647B450B" w14:textId="24F4AF4C" w:rsidR="00AE494C" w:rsidRPr="001219D5" w:rsidRDefault="00AE494C" w:rsidP="001219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Death of spouse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7EAC" w14:textId="77777777" w:rsidR="001219D5" w:rsidRDefault="00BE60D2" w:rsidP="00AE494C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Greater tax sensitivity</w:t>
            </w:r>
          </w:p>
          <w:p w14:paraId="3D2AF775" w14:textId="77777777" w:rsidR="00BE60D2" w:rsidRDefault="00BE60D2" w:rsidP="00AE494C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Preserving wealth</w:t>
            </w:r>
          </w:p>
          <w:p w14:paraId="7D0CF979" w14:textId="46C0CDD2" w:rsidR="00BE60D2" w:rsidRPr="00AE494C" w:rsidRDefault="00BE60D2" w:rsidP="00AE494C">
            <w:pPr>
              <w:pStyle w:val="ListParagraph"/>
              <w:numPr>
                <w:ilvl w:val="0"/>
                <w:numId w:val="1"/>
              </w:num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  <w:t>Estate planning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9AB2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A06CAB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7592F8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3C040595" w14:textId="77777777" w:rsidTr="00AE494C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DE15" w14:textId="6252B4F9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0F90" w14:textId="57F80E8A" w:rsidR="001219D5" w:rsidRPr="001219D5" w:rsidRDefault="001219D5" w:rsidP="001219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BCBC" w14:textId="58127AA6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18A2" w14:textId="133E4CBC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7CD6D2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49F334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75D89788" w14:textId="77777777" w:rsidTr="00E40F3B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5F9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3BCE" w14:textId="77777777" w:rsidR="001219D5" w:rsidRPr="001219D5" w:rsidRDefault="001219D5" w:rsidP="001219D5">
            <w:pPr>
              <w:spacing w:after="0" w:line="240" w:lineRule="auto"/>
              <w:ind w:left="360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0FFF" w14:textId="7F8B66CF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29FC" w14:textId="19F5A36E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115534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FE8F9F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4AAAEEBA" w14:textId="77777777" w:rsidTr="00AE494C">
        <w:trPr>
          <w:trHeight w:val="169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3545" w14:textId="39C1AA5E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00AC" w14:textId="77777777" w:rsidR="001219D5" w:rsidRPr="001219D5" w:rsidRDefault="001219D5" w:rsidP="001219D5">
            <w:pPr>
              <w:spacing w:after="0" w:line="240" w:lineRule="auto"/>
              <w:ind w:left="360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791" w14:textId="18CADE5F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A82E" w14:textId="75D573DD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57B086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1BC6EB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6F674D83" w14:textId="77777777" w:rsidTr="00E40F3B">
        <w:trPr>
          <w:trHeight w:val="2320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CC53" w14:textId="1A954438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62A9" w14:textId="689E43A0" w:rsidR="001219D5" w:rsidRPr="001219D5" w:rsidRDefault="001219D5" w:rsidP="001219D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9269" w14:textId="2C3782B6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AA12" w14:textId="59585165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B420D2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5BFF8C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48209228" w14:textId="77777777" w:rsidTr="00E40F3B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8882" w14:textId="1D9E964C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E7D0" w14:textId="77777777" w:rsidR="001219D5" w:rsidRPr="001219D5" w:rsidRDefault="001219D5" w:rsidP="001219D5">
            <w:pPr>
              <w:spacing w:after="0" w:line="240" w:lineRule="auto"/>
              <w:ind w:left="360"/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D222" w14:textId="04787EA1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3CEB" w14:textId="0EC3B161" w:rsidR="001219D5" w:rsidRPr="001219D5" w:rsidRDefault="001219D5" w:rsidP="00E752CD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62D3B2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6022B8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219D5" w:rsidRPr="001219D5" w14:paraId="7FC12047" w14:textId="77777777" w:rsidTr="00E40F3B"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C9EC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36E1" w14:textId="7107B87C" w:rsidR="001219D5" w:rsidRPr="001219D5" w:rsidRDefault="001219D5" w:rsidP="001219D5">
            <w:pPr>
              <w:numPr>
                <w:ilvl w:val="0"/>
                <w:numId w:val="2"/>
              </w:numPr>
              <w:contextualSpacing/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2EE8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3399" w14:textId="38DC286D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8D730F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83F7AB" w14:textId="77777777" w:rsidR="001219D5" w:rsidRPr="001219D5" w:rsidRDefault="001219D5" w:rsidP="001219D5">
            <w:pPr>
              <w:rPr>
                <w:rFonts w:ascii="Calibri" w:eastAsia="MS Mincho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F0036BC" w14:textId="77777777" w:rsidR="001219D5" w:rsidRPr="001219D5" w:rsidRDefault="001219D5" w:rsidP="001219D5">
      <w:pPr>
        <w:rPr>
          <w:rFonts w:ascii="Calibri" w:eastAsia="MS Mincho" w:hAnsi="Calibri" w:cs="Arial"/>
          <w:b/>
          <w:sz w:val="24"/>
          <w:szCs w:val="24"/>
        </w:rPr>
      </w:pPr>
    </w:p>
    <w:p w14:paraId="3640965A" w14:textId="77777777" w:rsidR="00250D3C" w:rsidRDefault="00250D3C"/>
    <w:sectPr w:rsidR="00250D3C" w:rsidSect="001219D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96B7" w14:textId="77777777" w:rsidR="00A61104" w:rsidRDefault="00A61104" w:rsidP="0047764D">
      <w:pPr>
        <w:spacing w:after="0" w:line="240" w:lineRule="auto"/>
      </w:pPr>
      <w:r>
        <w:separator/>
      </w:r>
    </w:p>
  </w:endnote>
  <w:endnote w:type="continuationSeparator" w:id="0">
    <w:p w14:paraId="0A377F0E" w14:textId="77777777" w:rsidR="00A61104" w:rsidRDefault="00A61104" w:rsidP="0047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658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8FDCC7" w14:textId="7C8AA993" w:rsidR="0047764D" w:rsidRDefault="00E40F3B">
            <w:pPr>
              <w:pStyle w:val="Footer"/>
              <w:jc w:val="right"/>
            </w:pPr>
            <w:r>
              <w:t xml:space="preserve"> Financial Life Stages                                                                                                                                                                                                       </w:t>
            </w:r>
            <w:r w:rsidR="0047764D">
              <w:t xml:space="preserve">Page </w:t>
            </w:r>
            <w:r w:rsidR="0047764D">
              <w:rPr>
                <w:b/>
                <w:bCs/>
                <w:sz w:val="24"/>
                <w:szCs w:val="24"/>
              </w:rPr>
              <w:fldChar w:fldCharType="begin"/>
            </w:r>
            <w:r w:rsidR="0047764D">
              <w:rPr>
                <w:b/>
                <w:bCs/>
              </w:rPr>
              <w:instrText xml:space="preserve"> PAGE </w:instrText>
            </w:r>
            <w:r w:rsidR="004776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7764D">
              <w:rPr>
                <w:b/>
                <w:bCs/>
                <w:sz w:val="24"/>
                <w:szCs w:val="24"/>
              </w:rPr>
              <w:fldChar w:fldCharType="end"/>
            </w:r>
            <w:r w:rsidR="0047764D">
              <w:t xml:space="preserve"> of </w:t>
            </w:r>
            <w:r w:rsidR="0047764D">
              <w:rPr>
                <w:b/>
                <w:bCs/>
                <w:sz w:val="24"/>
                <w:szCs w:val="24"/>
              </w:rPr>
              <w:fldChar w:fldCharType="begin"/>
            </w:r>
            <w:r w:rsidR="0047764D">
              <w:rPr>
                <w:b/>
                <w:bCs/>
              </w:rPr>
              <w:instrText xml:space="preserve"> NUMPAGES  </w:instrText>
            </w:r>
            <w:r w:rsidR="004776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776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158373" w14:textId="77777777" w:rsidR="0047764D" w:rsidRDefault="0047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15D40" w14:textId="77777777" w:rsidR="00A61104" w:rsidRDefault="00A61104" w:rsidP="0047764D">
      <w:pPr>
        <w:spacing w:after="0" w:line="240" w:lineRule="auto"/>
      </w:pPr>
      <w:r>
        <w:separator/>
      </w:r>
    </w:p>
  </w:footnote>
  <w:footnote w:type="continuationSeparator" w:id="0">
    <w:p w14:paraId="383B273F" w14:textId="77777777" w:rsidR="00A61104" w:rsidRDefault="00A61104" w:rsidP="0047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715"/>
    <w:multiLevelType w:val="hybridMultilevel"/>
    <w:tmpl w:val="F590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332D1"/>
    <w:multiLevelType w:val="hybridMultilevel"/>
    <w:tmpl w:val="5FC0B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60438"/>
    <w:multiLevelType w:val="hybridMultilevel"/>
    <w:tmpl w:val="27B0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33E4B"/>
    <w:multiLevelType w:val="hybridMultilevel"/>
    <w:tmpl w:val="FEC0C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616E9"/>
    <w:multiLevelType w:val="hybridMultilevel"/>
    <w:tmpl w:val="01DCA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8758A"/>
    <w:multiLevelType w:val="hybridMultilevel"/>
    <w:tmpl w:val="74AA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E61CF"/>
    <w:multiLevelType w:val="hybridMultilevel"/>
    <w:tmpl w:val="78BC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037143"/>
    <w:multiLevelType w:val="hybridMultilevel"/>
    <w:tmpl w:val="CF4A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D5"/>
    <w:rsid w:val="001219D5"/>
    <w:rsid w:val="001D5B89"/>
    <w:rsid w:val="00250D3C"/>
    <w:rsid w:val="0047764D"/>
    <w:rsid w:val="005C6334"/>
    <w:rsid w:val="007000EB"/>
    <w:rsid w:val="007E16A2"/>
    <w:rsid w:val="00890B3E"/>
    <w:rsid w:val="00940E03"/>
    <w:rsid w:val="009A138A"/>
    <w:rsid w:val="00A61104"/>
    <w:rsid w:val="00AC3209"/>
    <w:rsid w:val="00AE494C"/>
    <w:rsid w:val="00BE60D2"/>
    <w:rsid w:val="00E1377E"/>
    <w:rsid w:val="00E3593A"/>
    <w:rsid w:val="00E40F3B"/>
    <w:rsid w:val="00E752CD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FE9C"/>
  <w15:docId w15:val="{020704F9-41CB-461F-BB08-CF6036BA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4D"/>
  </w:style>
  <w:style w:type="paragraph" w:styleId="Footer">
    <w:name w:val="footer"/>
    <w:basedOn w:val="Normal"/>
    <w:link w:val="FooterChar"/>
    <w:uiPriority w:val="99"/>
    <w:unhideWhenUsed/>
    <w:rsid w:val="0047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4D"/>
  </w:style>
  <w:style w:type="paragraph" w:styleId="ListParagraph">
    <w:name w:val="List Paragraph"/>
    <w:basedOn w:val="Normal"/>
    <w:uiPriority w:val="34"/>
    <w:qFormat/>
    <w:rsid w:val="00A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Felton,Janet O.</cp:lastModifiedBy>
  <cp:revision>4</cp:revision>
  <dcterms:created xsi:type="dcterms:W3CDTF">2018-02-08T22:31:00Z</dcterms:created>
  <dcterms:modified xsi:type="dcterms:W3CDTF">2018-02-08T22:43:00Z</dcterms:modified>
</cp:coreProperties>
</file>