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15" w:type="dxa"/>
        <w:jc w:val="center"/>
        <w:tblLayout w:type="fixed"/>
        <w:tblLook w:val="04A0" w:firstRow="1" w:lastRow="0" w:firstColumn="1" w:lastColumn="0" w:noHBand="0" w:noVBand="1"/>
      </w:tblPr>
      <w:tblGrid>
        <w:gridCol w:w="990"/>
        <w:gridCol w:w="3595"/>
        <w:gridCol w:w="3870"/>
        <w:gridCol w:w="3240"/>
        <w:gridCol w:w="2520"/>
      </w:tblGrid>
      <w:tr w:rsidR="004F26F1" w:rsidTr="00E448A5">
        <w:trPr>
          <w:jc w:val="center"/>
        </w:trPr>
        <w:tc>
          <w:tcPr>
            <w:tcW w:w="8455" w:type="dxa"/>
            <w:gridSpan w:val="3"/>
            <w:vAlign w:val="center"/>
          </w:tcPr>
          <w:p w:rsidR="004F26F1" w:rsidRPr="0039097D" w:rsidRDefault="00ED3AAE" w:rsidP="004F26F1">
            <w:pPr>
              <w:rPr>
                <w:sz w:val="24"/>
                <w:szCs w:val="24"/>
              </w:rPr>
            </w:pPr>
            <w:r>
              <w:rPr>
                <w:sz w:val="36"/>
                <w:szCs w:val="36"/>
              </w:rPr>
              <w:t>C</w:t>
            </w:r>
            <w:r w:rsidR="001F14D4">
              <w:rPr>
                <w:sz w:val="36"/>
                <w:szCs w:val="36"/>
              </w:rPr>
              <w:t>omplaint Management Investigation Steps</w:t>
            </w:r>
          </w:p>
        </w:tc>
        <w:tc>
          <w:tcPr>
            <w:tcW w:w="3240" w:type="dxa"/>
          </w:tcPr>
          <w:p w:rsidR="004F26F1" w:rsidRPr="0039097D" w:rsidRDefault="004E6EFF" w:rsidP="0039097D">
            <w:pPr>
              <w:jc w:val="center"/>
              <w:rPr>
                <w:sz w:val="24"/>
                <w:szCs w:val="24"/>
              </w:rPr>
            </w:pPr>
            <w:r>
              <w:rPr>
                <w:sz w:val="24"/>
                <w:szCs w:val="24"/>
              </w:rPr>
              <w:t>Description</w:t>
            </w:r>
            <w:r w:rsidR="00F01BCB">
              <w:rPr>
                <w:sz w:val="24"/>
                <w:szCs w:val="24"/>
              </w:rPr>
              <w:t>/</w:t>
            </w:r>
            <w:r w:rsidR="00E448A5">
              <w:rPr>
                <w:sz w:val="24"/>
                <w:szCs w:val="24"/>
              </w:rPr>
              <w:t>Notes</w:t>
            </w:r>
          </w:p>
        </w:tc>
        <w:tc>
          <w:tcPr>
            <w:tcW w:w="2520" w:type="dxa"/>
            <w:vAlign w:val="center"/>
          </w:tcPr>
          <w:p w:rsidR="004F26F1" w:rsidRPr="0039097D" w:rsidRDefault="004F26F1" w:rsidP="0039097D">
            <w:pPr>
              <w:jc w:val="center"/>
              <w:rPr>
                <w:sz w:val="24"/>
                <w:szCs w:val="24"/>
              </w:rPr>
            </w:pPr>
            <w:r w:rsidRPr="0039097D">
              <w:rPr>
                <w:sz w:val="24"/>
                <w:szCs w:val="24"/>
              </w:rPr>
              <w:t>Action Items</w:t>
            </w:r>
          </w:p>
        </w:tc>
      </w:tr>
      <w:tr w:rsidR="00C23F7B" w:rsidTr="00E448A5">
        <w:trPr>
          <w:trHeight w:val="2519"/>
          <w:jc w:val="center"/>
        </w:trPr>
        <w:tc>
          <w:tcPr>
            <w:tcW w:w="990" w:type="dxa"/>
            <w:vAlign w:val="center"/>
          </w:tcPr>
          <w:p w:rsidR="00C23F7B" w:rsidRPr="00217911" w:rsidRDefault="00C23F7B" w:rsidP="00217911">
            <w:pPr>
              <w:jc w:val="center"/>
              <w:rPr>
                <w:sz w:val="48"/>
                <w:szCs w:val="48"/>
              </w:rPr>
            </w:pPr>
            <w:r w:rsidRPr="00217911">
              <w:rPr>
                <w:sz w:val="48"/>
                <w:szCs w:val="48"/>
              </w:rPr>
              <w:t>1</w:t>
            </w:r>
          </w:p>
        </w:tc>
        <w:tc>
          <w:tcPr>
            <w:tcW w:w="3595" w:type="dxa"/>
          </w:tcPr>
          <w:p w:rsidR="00C23F7B" w:rsidRDefault="00C23F7B">
            <w:r>
              <w:t>Who initiated the complaint?</w:t>
            </w:r>
          </w:p>
          <w:p w:rsidR="00C23F7B" w:rsidRDefault="00C23F7B" w:rsidP="004E6EFF">
            <w:pPr>
              <w:pStyle w:val="ListParagraph"/>
              <w:numPr>
                <w:ilvl w:val="0"/>
                <w:numId w:val="11"/>
              </w:numPr>
            </w:pPr>
            <w:r>
              <w:t>Student</w:t>
            </w:r>
          </w:p>
          <w:p w:rsidR="00C23F7B" w:rsidRDefault="00C23F7B" w:rsidP="004E6EFF">
            <w:pPr>
              <w:pStyle w:val="ListParagraph"/>
              <w:numPr>
                <w:ilvl w:val="0"/>
                <w:numId w:val="11"/>
              </w:numPr>
            </w:pPr>
            <w:r>
              <w:t>Faculty/staff</w:t>
            </w:r>
          </w:p>
          <w:p w:rsidR="00C23F7B" w:rsidRDefault="00C23F7B" w:rsidP="004E6EFF">
            <w:pPr>
              <w:pStyle w:val="ListParagraph"/>
              <w:numPr>
                <w:ilvl w:val="0"/>
                <w:numId w:val="11"/>
              </w:numPr>
            </w:pPr>
            <w:r>
              <w:t>Dean’s office</w:t>
            </w:r>
          </w:p>
          <w:p w:rsidR="00C23F7B" w:rsidRDefault="00C23F7B" w:rsidP="004E6EFF">
            <w:pPr>
              <w:pStyle w:val="ListParagraph"/>
              <w:numPr>
                <w:ilvl w:val="0"/>
                <w:numId w:val="11"/>
              </w:numPr>
            </w:pPr>
            <w:r>
              <w:t>Vice President’s office</w:t>
            </w:r>
          </w:p>
          <w:p w:rsidR="00C23F7B" w:rsidRDefault="00E448A5" w:rsidP="004E6EFF">
            <w:pPr>
              <w:pStyle w:val="ListParagraph"/>
              <w:numPr>
                <w:ilvl w:val="0"/>
                <w:numId w:val="11"/>
              </w:numPr>
            </w:pPr>
            <w:r>
              <w:t>Public</w:t>
            </w:r>
            <w:r w:rsidR="004E6EFF">
              <w:t xml:space="preserve"> </w:t>
            </w:r>
            <w:r w:rsidR="00C23F7B">
              <w:t>Safety</w:t>
            </w:r>
          </w:p>
          <w:p w:rsidR="00C23F7B" w:rsidRDefault="00C23F7B" w:rsidP="004E6EFF">
            <w:pPr>
              <w:pStyle w:val="ListParagraph"/>
              <w:numPr>
                <w:ilvl w:val="0"/>
                <w:numId w:val="11"/>
              </w:numPr>
            </w:pPr>
            <w:r>
              <w:t>Anonymous</w:t>
            </w:r>
          </w:p>
          <w:p w:rsidR="00C23F7B" w:rsidRDefault="00C23F7B" w:rsidP="004E6EFF">
            <w:pPr>
              <w:pStyle w:val="ListParagraph"/>
              <w:numPr>
                <w:ilvl w:val="0"/>
                <w:numId w:val="11"/>
              </w:numPr>
            </w:pPr>
            <w:r>
              <w:t>EARS report</w:t>
            </w:r>
          </w:p>
          <w:p w:rsidR="003A1640" w:rsidRDefault="00975E99" w:rsidP="004E6EFF">
            <w:pPr>
              <w:pStyle w:val="ListParagraph"/>
              <w:numPr>
                <w:ilvl w:val="0"/>
                <w:numId w:val="11"/>
              </w:numPr>
            </w:pPr>
            <w:r>
              <w:t>Other</w:t>
            </w:r>
          </w:p>
        </w:tc>
        <w:tc>
          <w:tcPr>
            <w:tcW w:w="3870" w:type="dxa"/>
          </w:tcPr>
          <w:p w:rsidR="00C23F7B" w:rsidRDefault="00C23F7B" w:rsidP="004F26F1">
            <w:r>
              <w:t>Type of complaint</w:t>
            </w:r>
          </w:p>
          <w:p w:rsidR="00C23F7B" w:rsidRDefault="0018410F" w:rsidP="004E6EFF">
            <w:pPr>
              <w:pStyle w:val="ListParagraph"/>
              <w:numPr>
                <w:ilvl w:val="0"/>
                <w:numId w:val="11"/>
              </w:numPr>
            </w:pPr>
            <w:r>
              <w:t>Instructional</w:t>
            </w:r>
          </w:p>
          <w:p w:rsidR="00C23F7B" w:rsidRDefault="00C23F7B" w:rsidP="004E6EFF">
            <w:pPr>
              <w:pStyle w:val="ListParagraph"/>
              <w:numPr>
                <w:ilvl w:val="0"/>
                <w:numId w:val="11"/>
              </w:numPr>
            </w:pPr>
            <w:r>
              <w:t>Harassment</w:t>
            </w:r>
          </w:p>
          <w:p w:rsidR="00C23F7B" w:rsidRDefault="0018410F" w:rsidP="004E6EFF">
            <w:pPr>
              <w:pStyle w:val="ListParagraph"/>
              <w:numPr>
                <w:ilvl w:val="0"/>
                <w:numId w:val="11"/>
              </w:numPr>
            </w:pPr>
            <w:r>
              <w:t>Academic Misconduct</w:t>
            </w:r>
          </w:p>
          <w:p w:rsidR="00C23F7B" w:rsidRDefault="0018410F" w:rsidP="004E6EFF">
            <w:pPr>
              <w:pStyle w:val="ListParagraph"/>
              <w:numPr>
                <w:ilvl w:val="0"/>
                <w:numId w:val="11"/>
              </w:numPr>
            </w:pPr>
            <w:r>
              <w:t>Student Code of Conduct</w:t>
            </w:r>
          </w:p>
          <w:p w:rsidR="004E6EFF" w:rsidRDefault="004E6EFF" w:rsidP="004E6EFF">
            <w:pPr>
              <w:pStyle w:val="ListParagraph"/>
              <w:numPr>
                <w:ilvl w:val="0"/>
                <w:numId w:val="11"/>
              </w:numPr>
            </w:pPr>
            <w:r>
              <w:t>Discrimination</w:t>
            </w:r>
          </w:p>
          <w:p w:rsidR="00C23F7B" w:rsidRDefault="00A86E7B" w:rsidP="00C76DF0">
            <w:pPr>
              <w:pStyle w:val="ListParagraph"/>
              <w:numPr>
                <w:ilvl w:val="0"/>
                <w:numId w:val="11"/>
              </w:numPr>
            </w:pPr>
            <w:r>
              <w:t>Other</w:t>
            </w:r>
          </w:p>
        </w:tc>
        <w:tc>
          <w:tcPr>
            <w:tcW w:w="3240" w:type="dxa"/>
          </w:tcPr>
          <w:p w:rsidR="00C23F7B" w:rsidRDefault="00C23F7B"/>
        </w:tc>
        <w:tc>
          <w:tcPr>
            <w:tcW w:w="2520" w:type="dxa"/>
          </w:tcPr>
          <w:p w:rsidR="00C23F7B" w:rsidRDefault="001773AF" w:rsidP="00A01686">
            <w:r>
              <w:rPr>
                <w:rFonts w:ascii="Calibri" w:eastAsia="Calibri" w:hAnsi="Calibri" w:cs="Calibri"/>
              </w:rPr>
              <w:t xml:space="preserve">Dean’s office contacts the </w:t>
            </w:r>
            <w:r w:rsidR="00A01686">
              <w:rPr>
                <w:rFonts w:ascii="Calibri" w:eastAsia="Calibri" w:hAnsi="Calibri" w:cs="Calibri"/>
              </w:rPr>
              <w:t>complaintant</w:t>
            </w:r>
            <w:r>
              <w:rPr>
                <w:rFonts w:ascii="Calibri" w:eastAsia="Calibri" w:hAnsi="Calibri" w:cs="Calibri"/>
              </w:rPr>
              <w:t>(s) within 48 hours of</w:t>
            </w:r>
            <w:r>
              <w:rPr>
                <w:rFonts w:ascii="Calibri" w:eastAsia="Calibri" w:hAnsi="Calibri" w:cs="Calibri"/>
                <w:spacing w:val="-16"/>
              </w:rPr>
              <w:t xml:space="preserve"> </w:t>
            </w:r>
            <w:r>
              <w:rPr>
                <w:rFonts w:ascii="Calibri" w:eastAsia="Calibri" w:hAnsi="Calibri" w:cs="Calibri"/>
              </w:rPr>
              <w:t>notification.</w:t>
            </w:r>
          </w:p>
        </w:tc>
      </w:tr>
      <w:tr w:rsidR="004F26F1" w:rsidTr="00E448A5">
        <w:trPr>
          <w:jc w:val="center"/>
        </w:trPr>
        <w:tc>
          <w:tcPr>
            <w:tcW w:w="990" w:type="dxa"/>
            <w:vAlign w:val="center"/>
          </w:tcPr>
          <w:p w:rsidR="004F26F1" w:rsidRPr="00217911" w:rsidRDefault="004F26F1" w:rsidP="00217911">
            <w:pPr>
              <w:jc w:val="center"/>
              <w:rPr>
                <w:sz w:val="48"/>
                <w:szCs w:val="48"/>
              </w:rPr>
            </w:pPr>
            <w:r w:rsidRPr="00217911">
              <w:rPr>
                <w:sz w:val="48"/>
                <w:szCs w:val="48"/>
              </w:rPr>
              <w:t>2</w:t>
            </w:r>
          </w:p>
        </w:tc>
        <w:tc>
          <w:tcPr>
            <w:tcW w:w="7465" w:type="dxa"/>
            <w:gridSpan w:val="2"/>
          </w:tcPr>
          <w:p w:rsidR="004F26F1" w:rsidRDefault="004F26F1">
            <w:r>
              <w:t xml:space="preserve">Key </w:t>
            </w:r>
            <w:r w:rsidR="004E6EFF">
              <w:t>Stakeholders</w:t>
            </w:r>
          </w:p>
          <w:p w:rsidR="004F26F1" w:rsidRDefault="004E6EFF" w:rsidP="004E6EFF">
            <w:pPr>
              <w:pStyle w:val="ListParagraph"/>
              <w:numPr>
                <w:ilvl w:val="0"/>
                <w:numId w:val="11"/>
              </w:numPr>
            </w:pPr>
            <w:r>
              <w:t>Student</w:t>
            </w:r>
          </w:p>
          <w:p w:rsidR="004F26F1" w:rsidRDefault="0018410F" w:rsidP="004E6EFF">
            <w:pPr>
              <w:pStyle w:val="ListParagraph"/>
              <w:numPr>
                <w:ilvl w:val="0"/>
                <w:numId w:val="11"/>
              </w:numPr>
            </w:pPr>
            <w:r>
              <w:t>Faculty</w:t>
            </w:r>
          </w:p>
          <w:p w:rsidR="004F26F1" w:rsidRDefault="004E6EFF" w:rsidP="004E6EFF">
            <w:pPr>
              <w:pStyle w:val="ListParagraph"/>
              <w:numPr>
                <w:ilvl w:val="0"/>
                <w:numId w:val="11"/>
              </w:numPr>
            </w:pPr>
            <w:r>
              <w:t>Staff</w:t>
            </w:r>
          </w:p>
          <w:p w:rsidR="004F26F1" w:rsidRDefault="0018410F" w:rsidP="004E6EFF">
            <w:pPr>
              <w:pStyle w:val="ListParagraph"/>
              <w:numPr>
                <w:ilvl w:val="0"/>
                <w:numId w:val="11"/>
              </w:numPr>
            </w:pPr>
            <w:r>
              <w:t>Community member</w:t>
            </w:r>
          </w:p>
          <w:p w:rsidR="004E6EFF" w:rsidRDefault="00E448A5" w:rsidP="004E6EFF">
            <w:pPr>
              <w:pStyle w:val="ListParagraph"/>
              <w:numPr>
                <w:ilvl w:val="0"/>
                <w:numId w:val="11"/>
              </w:numPr>
            </w:pPr>
            <w:r>
              <w:t xml:space="preserve">Public </w:t>
            </w:r>
            <w:r w:rsidR="0018410F">
              <w:t>Safety</w:t>
            </w:r>
          </w:p>
          <w:p w:rsidR="004F26F1" w:rsidRDefault="00A86E7B" w:rsidP="004E6EFF">
            <w:pPr>
              <w:pStyle w:val="ListParagraph"/>
              <w:numPr>
                <w:ilvl w:val="0"/>
                <w:numId w:val="11"/>
              </w:numPr>
            </w:pPr>
            <w:r>
              <w:t>Other</w:t>
            </w:r>
          </w:p>
        </w:tc>
        <w:tc>
          <w:tcPr>
            <w:tcW w:w="3240" w:type="dxa"/>
          </w:tcPr>
          <w:p w:rsidR="004F26F1" w:rsidRDefault="004F26F1"/>
        </w:tc>
        <w:tc>
          <w:tcPr>
            <w:tcW w:w="2520" w:type="dxa"/>
          </w:tcPr>
          <w:p w:rsidR="004F26F1" w:rsidRDefault="00F01BCB">
            <w:r>
              <w:t>Complete the interview template for each key stakeholder</w:t>
            </w:r>
          </w:p>
        </w:tc>
      </w:tr>
      <w:tr w:rsidR="005F51F5" w:rsidTr="00E448A5">
        <w:trPr>
          <w:jc w:val="center"/>
        </w:trPr>
        <w:tc>
          <w:tcPr>
            <w:tcW w:w="990" w:type="dxa"/>
            <w:vMerge w:val="restart"/>
          </w:tcPr>
          <w:p w:rsidR="005F51F5" w:rsidRDefault="005F51F5" w:rsidP="00217911">
            <w:pPr>
              <w:jc w:val="center"/>
              <w:rPr>
                <w:sz w:val="48"/>
                <w:szCs w:val="48"/>
              </w:rPr>
            </w:pPr>
          </w:p>
          <w:p w:rsidR="005F51F5" w:rsidRPr="00217911" w:rsidRDefault="005F51F5" w:rsidP="00217911">
            <w:pPr>
              <w:jc w:val="center"/>
              <w:rPr>
                <w:sz w:val="48"/>
                <w:szCs w:val="48"/>
              </w:rPr>
            </w:pPr>
            <w:r w:rsidRPr="00217911">
              <w:rPr>
                <w:sz w:val="48"/>
                <w:szCs w:val="48"/>
              </w:rPr>
              <w:t>3</w:t>
            </w:r>
          </w:p>
        </w:tc>
        <w:tc>
          <w:tcPr>
            <w:tcW w:w="3595" w:type="dxa"/>
          </w:tcPr>
          <w:p w:rsidR="000F49F9" w:rsidRDefault="004F26F1" w:rsidP="004F26F1">
            <w:r>
              <w:t xml:space="preserve">Department </w:t>
            </w:r>
            <w:r w:rsidR="004E6EFF">
              <w:t>Involved</w:t>
            </w:r>
          </w:p>
          <w:p w:rsidR="004F26F1" w:rsidRDefault="004F26F1" w:rsidP="004E6EFF">
            <w:pPr>
              <w:pStyle w:val="ListParagraph"/>
              <w:numPr>
                <w:ilvl w:val="0"/>
                <w:numId w:val="11"/>
              </w:numPr>
            </w:pPr>
            <w:r>
              <w:t>Athletics</w:t>
            </w:r>
          </w:p>
          <w:p w:rsidR="004E6EFF" w:rsidRDefault="004E6EFF" w:rsidP="004E6EFF">
            <w:pPr>
              <w:pStyle w:val="ListParagraph"/>
              <w:numPr>
                <w:ilvl w:val="0"/>
                <w:numId w:val="11"/>
              </w:numPr>
            </w:pPr>
            <w:r>
              <w:t>Academics</w:t>
            </w:r>
          </w:p>
          <w:p w:rsidR="004F26F1" w:rsidRDefault="004F26F1" w:rsidP="004E6EFF">
            <w:pPr>
              <w:pStyle w:val="ListParagraph"/>
              <w:numPr>
                <w:ilvl w:val="0"/>
                <w:numId w:val="11"/>
              </w:numPr>
            </w:pPr>
            <w:r>
              <w:t>Disability Resources &amp; Services</w:t>
            </w:r>
          </w:p>
          <w:p w:rsidR="004F26F1" w:rsidRDefault="004F26F1" w:rsidP="004E6EFF">
            <w:pPr>
              <w:pStyle w:val="ListParagraph"/>
              <w:numPr>
                <w:ilvl w:val="0"/>
                <w:numId w:val="11"/>
              </w:numPr>
            </w:pPr>
            <w:r>
              <w:t>International Education</w:t>
            </w:r>
          </w:p>
          <w:p w:rsidR="000F49F9" w:rsidRDefault="004F26F1" w:rsidP="00244E3B">
            <w:pPr>
              <w:pStyle w:val="ListParagraph"/>
              <w:numPr>
                <w:ilvl w:val="0"/>
                <w:numId w:val="11"/>
              </w:numPr>
            </w:pPr>
            <w:r>
              <w:t>Veterans Services</w:t>
            </w:r>
          </w:p>
          <w:p w:rsidR="004E6EFF" w:rsidRDefault="00E448A5" w:rsidP="00244E3B">
            <w:pPr>
              <w:pStyle w:val="ListParagraph"/>
              <w:numPr>
                <w:ilvl w:val="0"/>
                <w:numId w:val="11"/>
              </w:numPr>
            </w:pPr>
            <w:r>
              <w:t>Public</w:t>
            </w:r>
            <w:r w:rsidR="004E6EFF">
              <w:t xml:space="preserve"> Safety</w:t>
            </w:r>
          </w:p>
          <w:p w:rsidR="005F51F5" w:rsidRDefault="004F26F1" w:rsidP="004E6EFF">
            <w:pPr>
              <w:pStyle w:val="ListParagraph"/>
              <w:numPr>
                <w:ilvl w:val="0"/>
                <w:numId w:val="11"/>
              </w:numPr>
            </w:pPr>
            <w:r>
              <w:t>Other</w:t>
            </w:r>
          </w:p>
        </w:tc>
        <w:tc>
          <w:tcPr>
            <w:tcW w:w="3870" w:type="dxa"/>
          </w:tcPr>
          <w:p w:rsidR="004F26F1" w:rsidRDefault="008E4844" w:rsidP="004F26F1">
            <w:hyperlink r:id="rId5" w:history="1">
              <w:r w:rsidR="00981FAB">
                <w:rPr>
                  <w:rStyle w:val="Hyperlink"/>
                </w:rPr>
                <w:t>What Policy/Regulation applies?</w:t>
              </w:r>
            </w:hyperlink>
          </w:p>
          <w:p w:rsidR="004F26F1" w:rsidRDefault="008E4844" w:rsidP="004E6EFF">
            <w:pPr>
              <w:pStyle w:val="ListParagraph"/>
              <w:numPr>
                <w:ilvl w:val="0"/>
                <w:numId w:val="11"/>
              </w:numPr>
            </w:pPr>
            <w:hyperlink r:id="rId6" w:history="1">
              <w:r w:rsidR="004F26F1" w:rsidRPr="00E448A5">
                <w:rPr>
                  <w:rStyle w:val="Hyperlink"/>
                </w:rPr>
                <w:t>College Code of Conduct</w:t>
              </w:r>
              <w:r w:rsidR="00E448A5" w:rsidRPr="00E448A5">
                <w:rPr>
                  <w:rStyle w:val="Hyperlink"/>
                </w:rPr>
                <w:t>/students</w:t>
              </w:r>
            </w:hyperlink>
          </w:p>
          <w:p w:rsidR="004F26F1" w:rsidRDefault="008E4844" w:rsidP="004E6EFF">
            <w:pPr>
              <w:pStyle w:val="ListParagraph"/>
              <w:numPr>
                <w:ilvl w:val="0"/>
                <w:numId w:val="11"/>
              </w:numPr>
            </w:pPr>
            <w:hyperlink r:id="rId7" w:history="1">
              <w:r w:rsidR="004F26F1" w:rsidRPr="00C76DF0">
                <w:rPr>
                  <w:rStyle w:val="Hyperlink"/>
                </w:rPr>
                <w:t>Age Discrimination Act of 1975</w:t>
              </w:r>
            </w:hyperlink>
          </w:p>
          <w:p w:rsidR="004F26F1" w:rsidRDefault="008E4844" w:rsidP="004E6EFF">
            <w:pPr>
              <w:pStyle w:val="ListParagraph"/>
              <w:numPr>
                <w:ilvl w:val="0"/>
                <w:numId w:val="11"/>
              </w:numPr>
            </w:pPr>
            <w:hyperlink r:id="rId8" w:history="1">
              <w:r w:rsidR="004F26F1" w:rsidRPr="00C76DF0">
                <w:rPr>
                  <w:rStyle w:val="Hyperlink"/>
                </w:rPr>
                <w:t>ADA</w:t>
              </w:r>
            </w:hyperlink>
            <w:r w:rsidR="004F26F1" w:rsidRPr="00C76DF0">
              <w:t xml:space="preserve">     </w:t>
            </w:r>
            <w:r w:rsidR="004F26F1">
              <w:t xml:space="preserve"> </w:t>
            </w:r>
            <w:r w:rsidR="005A1317">
              <w:t xml:space="preserve">  </w:t>
            </w:r>
            <w:r w:rsidR="003A1640">
              <w:t xml:space="preserve"> </w:t>
            </w:r>
            <w:r w:rsidR="005A1317">
              <w:t xml:space="preserve">  </w:t>
            </w:r>
            <w:r w:rsidR="003A1640">
              <w:t xml:space="preserve">              </w:t>
            </w:r>
            <w:r w:rsidR="005A1317">
              <w:t xml:space="preserve"> </w:t>
            </w:r>
            <w:hyperlink r:id="rId9" w:history="1">
              <w:r w:rsidR="004F26F1" w:rsidRPr="00C76DF0">
                <w:rPr>
                  <w:rStyle w:val="Hyperlink"/>
                </w:rPr>
                <w:t>Section 504</w:t>
              </w:r>
            </w:hyperlink>
          </w:p>
          <w:p w:rsidR="004F26F1" w:rsidRDefault="008E4844" w:rsidP="00F90293">
            <w:pPr>
              <w:pStyle w:val="ListParagraph"/>
              <w:numPr>
                <w:ilvl w:val="0"/>
                <w:numId w:val="11"/>
              </w:numPr>
            </w:pPr>
            <w:hyperlink r:id="rId10" w:history="1">
              <w:r w:rsidR="004F26F1" w:rsidRPr="00C76DF0">
                <w:rPr>
                  <w:rStyle w:val="Hyperlink"/>
                </w:rPr>
                <w:t>Title IX</w:t>
              </w:r>
            </w:hyperlink>
            <w:r w:rsidR="003A1640">
              <w:rPr>
                <w:rStyle w:val="Hyperlink"/>
              </w:rPr>
              <w:t xml:space="preserve"> </w:t>
            </w:r>
            <w:r w:rsidR="003A1640">
              <w:rPr>
                <w:rStyle w:val="Hyperlink"/>
                <w:u w:val="none"/>
              </w:rPr>
              <w:t xml:space="preserve"> </w:t>
            </w:r>
            <w:r w:rsidR="0018410F" w:rsidRPr="0018410F">
              <w:rPr>
                <w:rStyle w:val="Hyperlink"/>
                <w:b/>
                <w:color w:val="000000" w:themeColor="text1"/>
                <w:u w:val="none"/>
              </w:rPr>
              <w:t>*</w:t>
            </w:r>
            <w:r w:rsidR="00C16A03">
              <w:rPr>
                <w:rStyle w:val="Hyperlink"/>
                <w:b/>
                <w:color w:val="000000" w:themeColor="text1"/>
                <w:u w:val="none"/>
              </w:rPr>
              <w:t>*</w:t>
            </w:r>
            <w:r w:rsidR="003A1640">
              <w:rPr>
                <w:rStyle w:val="Hyperlink"/>
                <w:u w:val="none"/>
              </w:rPr>
              <w:t xml:space="preserve">               </w:t>
            </w:r>
            <w:hyperlink r:id="rId11" w:history="1">
              <w:r w:rsidR="004F26F1" w:rsidRPr="00C76DF0">
                <w:rPr>
                  <w:rStyle w:val="Hyperlink"/>
                </w:rPr>
                <w:t>Title VI</w:t>
              </w:r>
            </w:hyperlink>
          </w:p>
          <w:p w:rsidR="004F26F1" w:rsidRDefault="008E4844" w:rsidP="001E73D7">
            <w:pPr>
              <w:pStyle w:val="ListParagraph"/>
              <w:numPr>
                <w:ilvl w:val="0"/>
                <w:numId w:val="11"/>
              </w:numPr>
            </w:pPr>
            <w:hyperlink r:id="rId12" w:history="1">
              <w:r w:rsidR="004F26F1" w:rsidRPr="00E448A5">
                <w:rPr>
                  <w:rStyle w:val="Hyperlink"/>
                </w:rPr>
                <w:t>FERPA</w:t>
              </w:r>
            </w:hyperlink>
            <w:r w:rsidR="00C10572">
              <w:t xml:space="preserve">                      </w:t>
            </w:r>
            <w:hyperlink r:id="rId13" w:history="1">
              <w:r w:rsidR="004F26F1" w:rsidRPr="00C76DF0">
                <w:rPr>
                  <w:rStyle w:val="Hyperlink"/>
                </w:rPr>
                <w:t>Clery Act</w:t>
              </w:r>
            </w:hyperlink>
          </w:p>
          <w:p w:rsidR="004F26F1" w:rsidRDefault="008E4844" w:rsidP="004E6EFF">
            <w:pPr>
              <w:pStyle w:val="ListParagraph"/>
              <w:numPr>
                <w:ilvl w:val="0"/>
                <w:numId w:val="11"/>
              </w:numPr>
            </w:pPr>
            <w:hyperlink r:id="rId14" w:history="1">
              <w:r w:rsidR="004F26F1" w:rsidRPr="00E448A5">
                <w:rPr>
                  <w:rStyle w:val="Hyperlink"/>
                </w:rPr>
                <w:t>NJCAA</w:t>
              </w:r>
            </w:hyperlink>
          </w:p>
          <w:p w:rsidR="004F26F1" w:rsidRDefault="008E4844" w:rsidP="004E6EFF">
            <w:pPr>
              <w:pStyle w:val="ListParagraph"/>
              <w:numPr>
                <w:ilvl w:val="0"/>
                <w:numId w:val="11"/>
              </w:numPr>
            </w:pPr>
            <w:hyperlink r:id="rId15" w:history="1">
              <w:r w:rsidR="005A1317" w:rsidRPr="005A1317">
                <w:rPr>
                  <w:rStyle w:val="Hyperlink"/>
                </w:rPr>
                <w:t>MCCCD Administrative Regulations</w:t>
              </w:r>
            </w:hyperlink>
          </w:p>
          <w:p w:rsidR="005F51F5" w:rsidRDefault="008E4844" w:rsidP="003A1640">
            <w:pPr>
              <w:pStyle w:val="ListParagraph"/>
              <w:numPr>
                <w:ilvl w:val="0"/>
                <w:numId w:val="11"/>
              </w:numPr>
            </w:pPr>
            <w:hyperlink r:id="rId16" w:history="1">
              <w:r w:rsidR="005A1317" w:rsidRPr="005A1317">
                <w:rPr>
                  <w:rStyle w:val="Hyperlink"/>
                </w:rPr>
                <w:t>Employee Policy Documents</w:t>
              </w:r>
            </w:hyperlink>
          </w:p>
        </w:tc>
        <w:tc>
          <w:tcPr>
            <w:tcW w:w="3240" w:type="dxa"/>
          </w:tcPr>
          <w:p w:rsidR="005F51F5" w:rsidRDefault="005F51F5"/>
        </w:tc>
        <w:tc>
          <w:tcPr>
            <w:tcW w:w="2520" w:type="dxa"/>
          </w:tcPr>
          <w:p w:rsidR="005F51F5" w:rsidRDefault="005F51F5" w:rsidP="004F26F1"/>
        </w:tc>
      </w:tr>
      <w:tr w:rsidR="000A1541" w:rsidTr="00E448A5">
        <w:trPr>
          <w:jc w:val="center"/>
        </w:trPr>
        <w:tc>
          <w:tcPr>
            <w:tcW w:w="990" w:type="dxa"/>
            <w:vMerge/>
            <w:vAlign w:val="center"/>
          </w:tcPr>
          <w:p w:rsidR="000A1541" w:rsidRPr="00217911" w:rsidRDefault="000A1541" w:rsidP="00217911">
            <w:pPr>
              <w:jc w:val="center"/>
              <w:rPr>
                <w:sz w:val="48"/>
                <w:szCs w:val="48"/>
              </w:rPr>
            </w:pPr>
          </w:p>
        </w:tc>
        <w:tc>
          <w:tcPr>
            <w:tcW w:w="13225" w:type="dxa"/>
            <w:gridSpan w:val="4"/>
          </w:tcPr>
          <w:p w:rsidR="00A86E7B" w:rsidRPr="00A80870" w:rsidRDefault="00A86E7B" w:rsidP="00A86E7B">
            <w:pPr>
              <w:rPr>
                <w:rFonts w:ascii="Calibri" w:eastAsia="Calibri" w:hAnsi="Calibri" w:cs="Calibri"/>
              </w:rPr>
            </w:pPr>
            <w:r w:rsidRPr="00A80870">
              <w:rPr>
                <w:rFonts w:ascii="Calibri" w:eastAsia="Calibri" w:hAnsi="Calibri" w:cs="Calibri"/>
              </w:rPr>
              <w:t xml:space="preserve">During meeting, </w:t>
            </w:r>
            <w:r>
              <w:rPr>
                <w:rFonts w:ascii="Calibri" w:eastAsia="Calibri" w:hAnsi="Calibri" w:cs="Calibri"/>
              </w:rPr>
              <w:t xml:space="preserve">the </w:t>
            </w:r>
            <w:r w:rsidRPr="00A80870">
              <w:rPr>
                <w:rFonts w:ascii="Calibri" w:eastAsia="Calibri" w:hAnsi="Calibri" w:cs="Calibri"/>
              </w:rPr>
              <w:t>Dean’s office asks probing questions to understand the circumstances of the assault or infraction – whether student/faculty, student/student, student/staff. The dean takes copious notes while allowing the victim to describe, in as much detail as possible, the events on the date(s) of assault or infraction. The dean routinely reads back the notes and asks additional clarifying questions to ensure that the student’s side of the story is accurately depicted. Additionally, the dean requests an understanding of what outcome the victim would like to see and how the college can support them – and assures the complainant that the case will be resolved in a timely fashion.</w:t>
            </w:r>
          </w:p>
          <w:p w:rsidR="00A86E7B" w:rsidRDefault="00A86E7B" w:rsidP="00A86E7B">
            <w:pPr>
              <w:rPr>
                <w:rFonts w:ascii="Calibri" w:eastAsia="Calibri" w:hAnsi="Calibri" w:cs="Calibri"/>
              </w:rPr>
            </w:pPr>
            <w:r w:rsidRPr="00E22224">
              <w:rPr>
                <w:rFonts w:ascii="Calibri" w:eastAsia="Calibri" w:hAnsi="Calibri" w:cs="Calibri"/>
              </w:rPr>
              <w:t>Once the preliminary interview is conducted, the primary investigator reviews the preliminary findings with the designated/secondary investigator(s).</w:t>
            </w:r>
          </w:p>
          <w:p w:rsidR="00A86E7B" w:rsidRPr="00A80870" w:rsidRDefault="00A86E7B" w:rsidP="00A86E7B">
            <w:pPr>
              <w:rPr>
                <w:rFonts w:ascii="Calibri" w:eastAsia="Calibri" w:hAnsi="Calibri" w:cs="Calibri"/>
              </w:rPr>
            </w:pPr>
            <w:r w:rsidRPr="00A80870">
              <w:rPr>
                <w:rFonts w:ascii="Calibri" w:eastAsia="Calibri" w:hAnsi="Calibri" w:cs="Calibri"/>
              </w:rPr>
              <w:t>Follow up: The PI will share additional thoughts and questions for inquiry with the complainant and accused (where necessary).  Part of this step will also include the DI completing the timeline of events and alignment with applicable regulations.</w:t>
            </w:r>
          </w:p>
          <w:p w:rsidR="00A86E7B" w:rsidRPr="00A80870" w:rsidRDefault="00A86E7B" w:rsidP="00A86E7B">
            <w:pPr>
              <w:rPr>
                <w:rFonts w:ascii="Calibri" w:eastAsia="Calibri" w:hAnsi="Calibri" w:cs="Calibri"/>
              </w:rPr>
            </w:pPr>
            <w:r w:rsidRPr="00A80870">
              <w:rPr>
                <w:rFonts w:ascii="Calibri" w:eastAsia="Calibri" w:hAnsi="Calibri" w:cs="Calibri"/>
              </w:rPr>
              <w:t>Witness Interview: If there are witnesses, the dean requests permission to contact the other witnesses during the initial meeting. If permission is granted, the dean determines the necessity of the consultation with the witnesses. The only reason a witness would not be contacted would be if the details of the infraction are determined not to be Sexual Assault or Sexual Discrimination. However, the dean reserves the right to assess the need for additional witnesses based on the allegations of the victim(s).</w:t>
            </w:r>
          </w:p>
          <w:p w:rsidR="00A86E7B" w:rsidRDefault="00A86E7B" w:rsidP="00A86E7B">
            <w:pPr>
              <w:rPr>
                <w:rFonts w:ascii="Calibri" w:eastAsia="Calibri" w:hAnsi="Calibri" w:cs="Calibri"/>
              </w:rPr>
            </w:pPr>
            <w:r w:rsidRPr="00A80870">
              <w:rPr>
                <w:rFonts w:ascii="Calibri" w:eastAsia="Calibri" w:hAnsi="Calibri" w:cs="Calibri"/>
              </w:rPr>
              <w:t>VP/DI Debriefing: following any subsequent interviews, the principal investigator will debrief the vice president and the designated investigator</w:t>
            </w:r>
          </w:p>
          <w:p w:rsidR="00BC51C8" w:rsidRDefault="00BC51C8" w:rsidP="00A86E7B">
            <w:pPr>
              <w:widowControl w:val="0"/>
              <w:tabs>
                <w:tab w:val="left" w:pos="880"/>
              </w:tabs>
              <w:spacing w:line="276" w:lineRule="auto"/>
              <w:ind w:right="408"/>
            </w:pPr>
          </w:p>
        </w:tc>
      </w:tr>
      <w:tr w:rsidR="004F26F1" w:rsidTr="00E448A5">
        <w:trPr>
          <w:jc w:val="center"/>
        </w:trPr>
        <w:tc>
          <w:tcPr>
            <w:tcW w:w="8455" w:type="dxa"/>
            <w:gridSpan w:val="3"/>
          </w:tcPr>
          <w:p w:rsidR="004F26F1" w:rsidRDefault="004F26F1">
            <w:r>
              <w:rPr>
                <w:sz w:val="36"/>
                <w:szCs w:val="36"/>
              </w:rPr>
              <w:lastRenderedPageBreak/>
              <w:t>Investigation Steps</w:t>
            </w:r>
          </w:p>
        </w:tc>
        <w:tc>
          <w:tcPr>
            <w:tcW w:w="3240" w:type="dxa"/>
          </w:tcPr>
          <w:p w:rsidR="004F26F1" w:rsidRDefault="004E6EFF" w:rsidP="004F26F1">
            <w:pPr>
              <w:jc w:val="center"/>
            </w:pPr>
            <w:r>
              <w:rPr>
                <w:sz w:val="24"/>
                <w:szCs w:val="24"/>
              </w:rPr>
              <w:t>Description</w:t>
            </w:r>
          </w:p>
        </w:tc>
        <w:tc>
          <w:tcPr>
            <w:tcW w:w="2520" w:type="dxa"/>
          </w:tcPr>
          <w:p w:rsidR="004F26F1" w:rsidRPr="00A80870" w:rsidRDefault="004F26F1" w:rsidP="004F26F1">
            <w:pPr>
              <w:widowControl w:val="0"/>
              <w:tabs>
                <w:tab w:val="left" w:pos="880"/>
              </w:tabs>
              <w:spacing w:line="276" w:lineRule="auto"/>
              <w:ind w:left="72" w:right="72"/>
              <w:jc w:val="center"/>
              <w:rPr>
                <w:rFonts w:ascii="Calibri" w:eastAsia="Calibri" w:hAnsi="Calibri" w:cs="Calibri"/>
              </w:rPr>
            </w:pPr>
            <w:r w:rsidRPr="0039097D">
              <w:rPr>
                <w:sz w:val="24"/>
                <w:szCs w:val="24"/>
              </w:rPr>
              <w:t>Action Items</w:t>
            </w:r>
          </w:p>
        </w:tc>
      </w:tr>
      <w:tr w:rsidR="004F26F1" w:rsidTr="00E448A5">
        <w:trPr>
          <w:jc w:val="center"/>
        </w:trPr>
        <w:tc>
          <w:tcPr>
            <w:tcW w:w="990" w:type="dxa"/>
            <w:vMerge w:val="restart"/>
          </w:tcPr>
          <w:p w:rsidR="004F26F1" w:rsidRDefault="004F26F1" w:rsidP="00217911">
            <w:pPr>
              <w:jc w:val="center"/>
              <w:rPr>
                <w:sz w:val="48"/>
                <w:szCs w:val="48"/>
              </w:rPr>
            </w:pPr>
          </w:p>
          <w:p w:rsidR="004F26F1" w:rsidRPr="00217911" w:rsidRDefault="004F26F1" w:rsidP="00217911">
            <w:pPr>
              <w:jc w:val="center"/>
              <w:rPr>
                <w:sz w:val="48"/>
                <w:szCs w:val="48"/>
              </w:rPr>
            </w:pPr>
            <w:r w:rsidRPr="00217911">
              <w:rPr>
                <w:sz w:val="48"/>
                <w:szCs w:val="48"/>
              </w:rPr>
              <w:t>4</w:t>
            </w:r>
          </w:p>
        </w:tc>
        <w:tc>
          <w:tcPr>
            <w:tcW w:w="7465" w:type="dxa"/>
            <w:gridSpan w:val="2"/>
          </w:tcPr>
          <w:p w:rsidR="004F26F1" w:rsidRDefault="004F26F1" w:rsidP="004E6EFF">
            <w:pPr>
              <w:pStyle w:val="ListParagraph"/>
              <w:numPr>
                <w:ilvl w:val="0"/>
                <w:numId w:val="11"/>
              </w:numPr>
            </w:pPr>
            <w:r>
              <w:t>Communicate the process to all key players every 72 hours</w:t>
            </w:r>
          </w:p>
          <w:p w:rsidR="004F26F1" w:rsidRDefault="004F26F1" w:rsidP="004E6EFF">
            <w:pPr>
              <w:pStyle w:val="ListParagraph"/>
              <w:numPr>
                <w:ilvl w:val="0"/>
                <w:numId w:val="11"/>
              </w:numPr>
            </w:pPr>
            <w:r>
              <w:t>Gather witnesses: key players must not talk to witnesses</w:t>
            </w:r>
          </w:p>
          <w:p w:rsidR="004F26F1" w:rsidRDefault="004F26F1" w:rsidP="004E6EFF">
            <w:pPr>
              <w:pStyle w:val="ListParagraph"/>
              <w:numPr>
                <w:ilvl w:val="0"/>
                <w:numId w:val="11"/>
              </w:numPr>
            </w:pPr>
            <w:r>
              <w:t>Keep record of all requests and discussions</w:t>
            </w:r>
          </w:p>
          <w:p w:rsidR="004F26F1" w:rsidRDefault="004F26F1" w:rsidP="004E6EFF">
            <w:pPr>
              <w:pStyle w:val="ListParagraph"/>
              <w:numPr>
                <w:ilvl w:val="0"/>
                <w:numId w:val="11"/>
              </w:numPr>
            </w:pPr>
            <w:r>
              <w:t>Establish a list of questions and share with key players</w:t>
            </w:r>
          </w:p>
        </w:tc>
        <w:tc>
          <w:tcPr>
            <w:tcW w:w="3240" w:type="dxa"/>
          </w:tcPr>
          <w:p w:rsidR="004F26F1" w:rsidRDefault="004F26F1"/>
        </w:tc>
        <w:tc>
          <w:tcPr>
            <w:tcW w:w="2520" w:type="dxa"/>
          </w:tcPr>
          <w:p w:rsidR="004F26F1" w:rsidRPr="00A80870" w:rsidRDefault="004F26F1" w:rsidP="00A80870">
            <w:pPr>
              <w:widowControl w:val="0"/>
              <w:tabs>
                <w:tab w:val="left" w:pos="880"/>
              </w:tabs>
              <w:spacing w:line="276" w:lineRule="auto"/>
              <w:ind w:left="72" w:right="72"/>
              <w:rPr>
                <w:rFonts w:ascii="Calibri" w:eastAsia="Calibri" w:hAnsi="Calibri" w:cs="Calibri"/>
              </w:rPr>
            </w:pPr>
          </w:p>
        </w:tc>
      </w:tr>
      <w:tr w:rsidR="00A80870" w:rsidTr="00E448A5">
        <w:trPr>
          <w:jc w:val="center"/>
        </w:trPr>
        <w:tc>
          <w:tcPr>
            <w:tcW w:w="990" w:type="dxa"/>
            <w:vMerge/>
            <w:vAlign w:val="center"/>
          </w:tcPr>
          <w:p w:rsidR="00A80870" w:rsidRPr="00217911" w:rsidRDefault="00A80870" w:rsidP="00217911">
            <w:pPr>
              <w:jc w:val="center"/>
              <w:rPr>
                <w:sz w:val="48"/>
                <w:szCs w:val="48"/>
              </w:rPr>
            </w:pPr>
          </w:p>
        </w:tc>
        <w:tc>
          <w:tcPr>
            <w:tcW w:w="13225" w:type="dxa"/>
            <w:gridSpan w:val="4"/>
          </w:tcPr>
          <w:p w:rsidR="00A86E7B" w:rsidRPr="000A1541" w:rsidRDefault="00C16A03" w:rsidP="00A86E7B">
            <w:pPr>
              <w:rPr>
                <w:rFonts w:ascii="Calibri" w:eastAsia="Calibri" w:hAnsi="Calibri" w:cs="Calibri"/>
              </w:rPr>
            </w:pPr>
            <w:r>
              <w:rPr>
                <w:rFonts w:ascii="Calibri" w:eastAsia="Calibri" w:hAnsi="Calibri" w:cs="Calibri"/>
                <w:sz w:val="24"/>
                <w:szCs w:val="24"/>
              </w:rPr>
              <w:t>*</w:t>
            </w:r>
            <w:r w:rsidR="00A86E7B" w:rsidRPr="0018410F">
              <w:rPr>
                <w:rFonts w:ascii="Calibri" w:eastAsia="Calibri" w:hAnsi="Calibri" w:cs="Calibri"/>
                <w:sz w:val="24"/>
                <w:szCs w:val="24"/>
              </w:rPr>
              <w:t>*</w:t>
            </w:r>
            <w:r w:rsidR="00A86E7B" w:rsidRPr="00663F99">
              <w:rPr>
                <w:rFonts w:ascii="Calibri" w:eastAsia="Calibri" w:hAnsi="Calibri" w:cs="Calibri"/>
                <w:sz w:val="24"/>
                <w:szCs w:val="24"/>
                <w:u w:val="single"/>
              </w:rPr>
              <w:t>Title IX Coordinator Involvement</w:t>
            </w:r>
            <w:r w:rsidR="00A86E7B" w:rsidRPr="00663F99">
              <w:rPr>
                <w:rFonts w:ascii="Calibri" w:eastAsia="Calibri" w:hAnsi="Calibri" w:cs="Calibri"/>
                <w:spacing w:val="-3"/>
                <w:sz w:val="24"/>
                <w:szCs w:val="24"/>
                <w:u w:val="single"/>
              </w:rPr>
              <w:t>:</w:t>
            </w:r>
            <w:r w:rsidR="00A86E7B" w:rsidRPr="000A1541">
              <w:rPr>
                <w:rFonts w:ascii="Calibri" w:eastAsia="Calibri" w:hAnsi="Calibri" w:cs="Calibri"/>
                <w:spacing w:val="-3"/>
                <w:sz w:val="28"/>
                <w:szCs w:val="28"/>
                <w:u w:val="single"/>
              </w:rPr>
              <w:t xml:space="preserve"> </w:t>
            </w:r>
            <w:r w:rsidR="00A86E7B" w:rsidRPr="000A1541">
              <w:rPr>
                <w:rFonts w:ascii="Calibri" w:eastAsia="Calibri" w:hAnsi="Calibri" w:cs="Calibri"/>
              </w:rPr>
              <w:t>If</w:t>
            </w:r>
            <w:r w:rsidR="00A86E7B" w:rsidRPr="000A1541">
              <w:rPr>
                <w:rFonts w:ascii="Calibri" w:eastAsia="Calibri" w:hAnsi="Calibri" w:cs="Calibri"/>
                <w:spacing w:val="-1"/>
              </w:rPr>
              <w:t xml:space="preserve"> </w:t>
            </w:r>
            <w:r w:rsidR="00A86E7B" w:rsidRPr="000A1541">
              <w:rPr>
                <w:rFonts w:ascii="Calibri" w:eastAsia="Calibri" w:hAnsi="Calibri" w:cs="Calibri"/>
              </w:rPr>
              <w:t>the</w:t>
            </w:r>
            <w:r w:rsidR="00A86E7B" w:rsidRPr="000A1541">
              <w:rPr>
                <w:rFonts w:ascii="Calibri" w:eastAsia="Calibri" w:hAnsi="Calibri" w:cs="Calibri"/>
                <w:spacing w:val="-1"/>
              </w:rPr>
              <w:t xml:space="preserve"> </w:t>
            </w:r>
            <w:r w:rsidR="00A86E7B" w:rsidRPr="000A1541">
              <w:rPr>
                <w:rFonts w:ascii="Calibri" w:eastAsia="Calibri" w:hAnsi="Calibri" w:cs="Calibri"/>
                <w:u w:val="single"/>
              </w:rPr>
              <w:t>accused</w:t>
            </w:r>
            <w:r w:rsidR="00A86E7B" w:rsidRPr="000A1541">
              <w:rPr>
                <w:rFonts w:ascii="Calibri" w:eastAsia="Calibri" w:hAnsi="Calibri" w:cs="Calibri"/>
                <w:spacing w:val="-2"/>
                <w:u w:val="single"/>
              </w:rPr>
              <w:t xml:space="preserve"> </w:t>
            </w:r>
            <w:r w:rsidR="00A86E7B" w:rsidRPr="000A1541">
              <w:rPr>
                <w:rFonts w:ascii="Calibri" w:eastAsia="Calibri" w:hAnsi="Calibri" w:cs="Calibri"/>
                <w:u w:val="single"/>
              </w:rPr>
              <w:t>is</w:t>
            </w:r>
            <w:r w:rsidR="00A86E7B" w:rsidRPr="000A1541">
              <w:rPr>
                <w:rFonts w:ascii="Calibri" w:eastAsia="Calibri" w:hAnsi="Calibri" w:cs="Calibri"/>
                <w:spacing w:val="-1"/>
                <w:u w:val="single"/>
              </w:rPr>
              <w:t xml:space="preserve"> </w:t>
            </w:r>
            <w:r w:rsidR="00A86E7B" w:rsidRPr="000A1541">
              <w:rPr>
                <w:rFonts w:ascii="Calibri" w:eastAsia="Calibri" w:hAnsi="Calibri" w:cs="Calibri"/>
                <w:u w:val="single"/>
              </w:rPr>
              <w:t>a</w:t>
            </w:r>
            <w:r w:rsidR="00A86E7B" w:rsidRPr="000A1541">
              <w:rPr>
                <w:rFonts w:ascii="Calibri" w:eastAsia="Calibri" w:hAnsi="Calibri" w:cs="Calibri"/>
                <w:spacing w:val="-4"/>
                <w:u w:val="single"/>
              </w:rPr>
              <w:t xml:space="preserve"> </w:t>
            </w:r>
            <w:r w:rsidR="00A86E7B" w:rsidRPr="000A1541">
              <w:rPr>
                <w:rFonts w:ascii="Calibri" w:eastAsia="Calibri" w:hAnsi="Calibri" w:cs="Calibri"/>
                <w:u w:val="single"/>
              </w:rPr>
              <w:t>faculty</w:t>
            </w:r>
            <w:r w:rsidR="00A86E7B" w:rsidRPr="000A1541">
              <w:rPr>
                <w:rFonts w:ascii="Calibri" w:eastAsia="Calibri" w:hAnsi="Calibri" w:cs="Calibri"/>
                <w:spacing w:val="-3"/>
                <w:u w:val="single"/>
              </w:rPr>
              <w:t xml:space="preserve"> </w:t>
            </w:r>
            <w:r w:rsidR="00A86E7B" w:rsidRPr="000A1541">
              <w:rPr>
                <w:rFonts w:ascii="Calibri" w:eastAsia="Calibri" w:hAnsi="Calibri" w:cs="Calibri"/>
                <w:u w:val="single"/>
              </w:rPr>
              <w:t>member</w:t>
            </w:r>
            <w:r w:rsidR="00A86E7B" w:rsidRPr="000A1541">
              <w:rPr>
                <w:rFonts w:ascii="Calibri" w:eastAsia="Calibri" w:hAnsi="Calibri" w:cs="Calibri"/>
                <w:spacing w:val="-3"/>
                <w:u w:val="single"/>
              </w:rPr>
              <w:t xml:space="preserve"> </w:t>
            </w:r>
            <w:r w:rsidR="00A86E7B" w:rsidRPr="000A1541">
              <w:rPr>
                <w:rFonts w:ascii="Calibri" w:eastAsia="Calibri" w:hAnsi="Calibri" w:cs="Calibri"/>
                <w:u w:val="single"/>
              </w:rPr>
              <w:t>or</w:t>
            </w:r>
            <w:r w:rsidR="00A86E7B" w:rsidRPr="000A1541">
              <w:rPr>
                <w:rFonts w:ascii="Calibri" w:eastAsia="Calibri" w:hAnsi="Calibri" w:cs="Calibri"/>
                <w:spacing w:val="-3"/>
                <w:u w:val="single"/>
              </w:rPr>
              <w:t xml:space="preserve"> </w:t>
            </w:r>
            <w:r w:rsidR="00A86E7B" w:rsidRPr="000A1541">
              <w:rPr>
                <w:rFonts w:ascii="Calibri" w:eastAsia="Calibri" w:hAnsi="Calibri" w:cs="Calibri"/>
                <w:u w:val="single"/>
              </w:rPr>
              <w:t>staff</w:t>
            </w:r>
            <w:r w:rsidR="00A86E7B" w:rsidRPr="000A1541">
              <w:rPr>
                <w:rFonts w:ascii="Calibri" w:eastAsia="Calibri" w:hAnsi="Calibri" w:cs="Calibri"/>
                <w:spacing w:val="-3"/>
                <w:u w:val="single"/>
              </w:rPr>
              <w:t xml:space="preserve"> </w:t>
            </w:r>
            <w:r w:rsidR="00A86E7B" w:rsidRPr="000A1541">
              <w:rPr>
                <w:rFonts w:ascii="Calibri" w:eastAsia="Calibri" w:hAnsi="Calibri" w:cs="Calibri"/>
                <w:u w:val="single"/>
              </w:rPr>
              <w:t>member</w:t>
            </w:r>
            <w:r w:rsidR="00A86E7B" w:rsidRPr="000A1541">
              <w:rPr>
                <w:rFonts w:ascii="Calibri" w:eastAsia="Calibri" w:hAnsi="Calibri" w:cs="Calibri"/>
              </w:rPr>
              <w:t>,</w:t>
            </w:r>
            <w:r w:rsidR="00A86E7B" w:rsidRPr="000A1541">
              <w:rPr>
                <w:rFonts w:ascii="Calibri" w:eastAsia="Calibri" w:hAnsi="Calibri" w:cs="Calibri"/>
                <w:spacing w:val="-1"/>
              </w:rPr>
              <w:t xml:space="preserve"> </w:t>
            </w:r>
            <w:r w:rsidR="00A86E7B" w:rsidRPr="000A1541">
              <w:rPr>
                <w:rFonts w:ascii="Calibri" w:eastAsia="Calibri" w:hAnsi="Calibri" w:cs="Calibri"/>
              </w:rPr>
              <w:t>the</w:t>
            </w:r>
            <w:r w:rsidR="00A86E7B" w:rsidRPr="000A1541">
              <w:rPr>
                <w:rFonts w:ascii="Calibri" w:eastAsia="Calibri" w:hAnsi="Calibri" w:cs="Calibri"/>
                <w:spacing w:val="-1"/>
              </w:rPr>
              <w:t xml:space="preserve"> </w:t>
            </w:r>
            <w:r w:rsidR="00A86E7B" w:rsidRPr="000A1541">
              <w:rPr>
                <w:rFonts w:ascii="Calibri" w:eastAsia="Calibri" w:hAnsi="Calibri" w:cs="Calibri"/>
              </w:rPr>
              <w:t>dean</w:t>
            </w:r>
            <w:r w:rsidR="00A86E7B" w:rsidRPr="000A1541">
              <w:rPr>
                <w:rFonts w:ascii="Calibri" w:eastAsia="Calibri" w:hAnsi="Calibri" w:cs="Calibri"/>
                <w:spacing w:val="-2"/>
              </w:rPr>
              <w:t xml:space="preserve"> </w:t>
            </w:r>
            <w:r w:rsidR="00A86E7B" w:rsidRPr="000A1541">
              <w:rPr>
                <w:rFonts w:ascii="Calibri" w:eastAsia="Calibri" w:hAnsi="Calibri" w:cs="Calibri"/>
              </w:rPr>
              <w:t>brings</w:t>
            </w:r>
            <w:r w:rsidR="00A86E7B" w:rsidRPr="000A1541">
              <w:rPr>
                <w:rFonts w:ascii="Calibri" w:eastAsia="Calibri" w:hAnsi="Calibri" w:cs="Calibri"/>
                <w:spacing w:val="-1"/>
              </w:rPr>
              <w:t xml:space="preserve"> </w:t>
            </w:r>
            <w:r w:rsidR="00A86E7B" w:rsidRPr="000A1541">
              <w:rPr>
                <w:rFonts w:ascii="Calibri" w:eastAsia="Calibri" w:hAnsi="Calibri" w:cs="Calibri"/>
              </w:rPr>
              <w:t>the</w:t>
            </w:r>
            <w:r w:rsidR="00A86E7B" w:rsidRPr="000A1541">
              <w:rPr>
                <w:rFonts w:ascii="Calibri" w:eastAsia="Calibri" w:hAnsi="Calibri" w:cs="Calibri"/>
                <w:spacing w:val="-3"/>
              </w:rPr>
              <w:t xml:space="preserve"> </w:t>
            </w:r>
            <w:r w:rsidR="00A86E7B" w:rsidRPr="000A1541">
              <w:rPr>
                <w:rFonts w:ascii="Calibri" w:eastAsia="Calibri" w:hAnsi="Calibri" w:cs="Calibri"/>
              </w:rPr>
              <w:t>initial</w:t>
            </w:r>
            <w:r w:rsidR="00A86E7B" w:rsidRPr="000A1541">
              <w:rPr>
                <w:rFonts w:ascii="Calibri" w:eastAsia="Calibri" w:hAnsi="Calibri" w:cs="Calibri"/>
                <w:spacing w:val="-1"/>
              </w:rPr>
              <w:t xml:space="preserve"> </w:t>
            </w:r>
            <w:r w:rsidR="00A86E7B" w:rsidRPr="000A1541">
              <w:rPr>
                <w:rFonts w:ascii="Calibri" w:eastAsia="Calibri" w:hAnsi="Calibri" w:cs="Calibri"/>
              </w:rPr>
              <w:t>notes</w:t>
            </w:r>
            <w:r w:rsidR="00A86E7B" w:rsidRPr="000A1541">
              <w:rPr>
                <w:rFonts w:ascii="Calibri" w:eastAsia="Calibri" w:hAnsi="Calibri" w:cs="Calibri"/>
                <w:spacing w:val="-4"/>
              </w:rPr>
              <w:t xml:space="preserve"> </w:t>
            </w:r>
            <w:r w:rsidR="00A86E7B" w:rsidRPr="000A1541">
              <w:rPr>
                <w:rFonts w:ascii="Calibri" w:eastAsia="Calibri" w:hAnsi="Calibri" w:cs="Calibri"/>
              </w:rPr>
              <w:t>to the</w:t>
            </w:r>
            <w:r w:rsidR="00A86E7B" w:rsidRPr="000A1541">
              <w:rPr>
                <w:rFonts w:ascii="Calibri" w:eastAsia="Calibri" w:hAnsi="Calibri" w:cs="Calibri"/>
                <w:spacing w:val="-3"/>
              </w:rPr>
              <w:t xml:space="preserve"> </w:t>
            </w:r>
            <w:r w:rsidR="00A86E7B" w:rsidRPr="000A1541">
              <w:rPr>
                <w:rFonts w:ascii="Calibri" w:eastAsia="Calibri" w:hAnsi="Calibri" w:cs="Calibri"/>
              </w:rPr>
              <w:t>Title</w:t>
            </w:r>
            <w:r w:rsidR="00A86E7B" w:rsidRPr="000A1541">
              <w:rPr>
                <w:rFonts w:ascii="Calibri" w:eastAsia="Calibri" w:hAnsi="Calibri" w:cs="Calibri"/>
                <w:spacing w:val="-1"/>
              </w:rPr>
              <w:t xml:space="preserve"> </w:t>
            </w:r>
            <w:r w:rsidR="00A86E7B" w:rsidRPr="000A1541">
              <w:rPr>
                <w:rFonts w:ascii="Calibri" w:eastAsia="Calibri" w:hAnsi="Calibri" w:cs="Calibri"/>
              </w:rPr>
              <w:t>IX</w:t>
            </w:r>
            <w:r w:rsidR="00A86E7B" w:rsidRPr="000A1541">
              <w:rPr>
                <w:rFonts w:ascii="Calibri" w:eastAsia="Calibri" w:hAnsi="Calibri" w:cs="Calibri"/>
                <w:spacing w:val="-4"/>
              </w:rPr>
              <w:t xml:space="preserve"> </w:t>
            </w:r>
            <w:r w:rsidR="00A86E7B" w:rsidRPr="000A1541">
              <w:rPr>
                <w:rFonts w:ascii="Calibri" w:eastAsia="Calibri" w:hAnsi="Calibri" w:cs="Calibri"/>
              </w:rPr>
              <w:t>Coordinator</w:t>
            </w:r>
            <w:r w:rsidR="00A86E7B" w:rsidRPr="000A1541">
              <w:rPr>
                <w:rFonts w:ascii="Calibri" w:eastAsia="Calibri" w:hAnsi="Calibri" w:cs="Calibri"/>
                <w:spacing w:val="-3"/>
              </w:rPr>
              <w:t xml:space="preserve"> </w:t>
            </w:r>
            <w:r w:rsidR="00A86E7B" w:rsidRPr="000A1541">
              <w:rPr>
                <w:rFonts w:ascii="Calibri" w:eastAsia="Calibri" w:hAnsi="Calibri" w:cs="Calibri"/>
              </w:rPr>
              <w:t>within</w:t>
            </w:r>
            <w:r w:rsidR="00A86E7B" w:rsidRPr="000A1541">
              <w:rPr>
                <w:rFonts w:ascii="Calibri" w:eastAsia="Calibri" w:hAnsi="Calibri" w:cs="Calibri"/>
                <w:spacing w:val="-3"/>
              </w:rPr>
              <w:t xml:space="preserve"> </w:t>
            </w:r>
            <w:r w:rsidR="00A86E7B" w:rsidRPr="000A1541">
              <w:rPr>
                <w:rFonts w:ascii="Calibri" w:eastAsia="Calibri" w:hAnsi="Calibri" w:cs="Calibri"/>
              </w:rPr>
              <w:t>HR</w:t>
            </w:r>
            <w:r w:rsidR="00A86E7B" w:rsidRPr="000A1541">
              <w:rPr>
                <w:rFonts w:ascii="Calibri" w:eastAsia="Calibri" w:hAnsi="Calibri" w:cs="Calibri"/>
                <w:spacing w:val="-3"/>
              </w:rPr>
              <w:t xml:space="preserve"> </w:t>
            </w:r>
            <w:r w:rsidR="00A86E7B" w:rsidRPr="000A1541">
              <w:rPr>
                <w:rFonts w:ascii="Calibri" w:eastAsia="Calibri" w:hAnsi="Calibri" w:cs="Calibri"/>
                <w:spacing w:val="2"/>
              </w:rPr>
              <w:t>to</w:t>
            </w:r>
            <w:r w:rsidR="00A86E7B" w:rsidRPr="000A1541">
              <w:rPr>
                <w:rFonts w:ascii="Calibri" w:eastAsia="Calibri" w:hAnsi="Calibri" w:cs="Calibri"/>
                <w:spacing w:val="-2"/>
              </w:rPr>
              <w:t xml:space="preserve"> </w:t>
            </w:r>
            <w:r w:rsidR="00A86E7B" w:rsidRPr="000A1541">
              <w:rPr>
                <w:rFonts w:ascii="Calibri" w:eastAsia="Calibri" w:hAnsi="Calibri" w:cs="Calibri"/>
              </w:rPr>
              <w:t>discuss</w:t>
            </w:r>
            <w:r w:rsidR="00A86E7B" w:rsidRPr="000A1541">
              <w:rPr>
                <w:rFonts w:ascii="Calibri" w:eastAsia="Calibri" w:hAnsi="Calibri" w:cs="Calibri"/>
                <w:spacing w:val="-1"/>
              </w:rPr>
              <w:t xml:space="preserve"> </w:t>
            </w:r>
            <w:r w:rsidR="00A86E7B" w:rsidRPr="000A1541">
              <w:rPr>
                <w:rFonts w:ascii="Calibri" w:eastAsia="Calibri" w:hAnsi="Calibri" w:cs="Calibri"/>
              </w:rPr>
              <w:t>approaching</w:t>
            </w:r>
            <w:r w:rsidR="00A86E7B" w:rsidRPr="000A1541">
              <w:rPr>
                <w:rFonts w:ascii="Calibri" w:eastAsia="Calibri" w:hAnsi="Calibri" w:cs="Calibri"/>
                <w:spacing w:val="-2"/>
              </w:rPr>
              <w:t xml:space="preserve"> </w:t>
            </w:r>
            <w:r w:rsidR="00A86E7B" w:rsidRPr="000A1541">
              <w:rPr>
                <w:rFonts w:ascii="Calibri" w:eastAsia="Calibri" w:hAnsi="Calibri" w:cs="Calibri"/>
              </w:rPr>
              <w:t>the</w:t>
            </w:r>
            <w:r w:rsidR="00A86E7B" w:rsidRPr="000A1541">
              <w:rPr>
                <w:rFonts w:ascii="Calibri" w:eastAsia="Calibri" w:hAnsi="Calibri" w:cs="Calibri"/>
                <w:spacing w:val="-1"/>
              </w:rPr>
              <w:t xml:space="preserve"> </w:t>
            </w:r>
            <w:r w:rsidR="00A86E7B" w:rsidRPr="000A1541">
              <w:rPr>
                <w:rFonts w:ascii="Calibri" w:eastAsia="Calibri" w:hAnsi="Calibri" w:cs="Calibri"/>
              </w:rPr>
              <w:t>staff or faculty with the allegations. It becomes the responsibility of the HR department to work with the faculty member or staff person – and their</w:t>
            </w:r>
            <w:r w:rsidR="00A86E7B" w:rsidRPr="000A1541">
              <w:rPr>
                <w:rFonts w:ascii="Calibri" w:eastAsia="Calibri" w:hAnsi="Calibri" w:cs="Calibri"/>
                <w:spacing w:val="12"/>
              </w:rPr>
              <w:t xml:space="preserve"> </w:t>
            </w:r>
            <w:r w:rsidR="00A86E7B" w:rsidRPr="000A1541">
              <w:rPr>
                <w:rFonts w:ascii="Calibri" w:eastAsia="Calibri" w:hAnsi="Calibri" w:cs="Calibri"/>
              </w:rPr>
              <w:t>direct supervisor, if necessary.  This helps to assure both the victim and the accused have due process. Generally speaking, the HR representative reaches</w:t>
            </w:r>
            <w:r w:rsidR="00A86E7B" w:rsidRPr="000A1541">
              <w:rPr>
                <w:rFonts w:ascii="Calibri" w:eastAsia="Calibri" w:hAnsi="Calibri" w:cs="Calibri"/>
                <w:spacing w:val="12"/>
              </w:rPr>
              <w:t xml:space="preserve"> </w:t>
            </w:r>
            <w:r w:rsidR="00A86E7B" w:rsidRPr="000A1541">
              <w:rPr>
                <w:rFonts w:ascii="Calibri" w:eastAsia="Calibri" w:hAnsi="Calibri" w:cs="Calibri"/>
              </w:rPr>
              <w:t>out to the accused or their supervisor within 48 hours and reports back to the dean as soon as they have</w:t>
            </w:r>
            <w:r w:rsidR="00A86E7B" w:rsidRPr="000A1541">
              <w:rPr>
                <w:rFonts w:ascii="Calibri" w:eastAsia="Calibri" w:hAnsi="Calibri" w:cs="Calibri"/>
                <w:spacing w:val="-21"/>
              </w:rPr>
              <w:t xml:space="preserve"> </w:t>
            </w:r>
            <w:r w:rsidR="00A86E7B" w:rsidRPr="000A1541">
              <w:rPr>
                <w:rFonts w:ascii="Calibri" w:eastAsia="Calibri" w:hAnsi="Calibri" w:cs="Calibri"/>
              </w:rPr>
              <w:t>met.</w:t>
            </w:r>
          </w:p>
          <w:p w:rsidR="00A86E7B" w:rsidRPr="000A1541" w:rsidRDefault="00A86E7B" w:rsidP="00A86E7B">
            <w:pPr>
              <w:pStyle w:val="ListParagraph"/>
              <w:widowControl w:val="0"/>
              <w:numPr>
                <w:ilvl w:val="0"/>
                <w:numId w:val="9"/>
              </w:numPr>
              <w:tabs>
                <w:tab w:val="left" w:pos="880"/>
              </w:tabs>
              <w:spacing w:line="276" w:lineRule="auto"/>
              <w:ind w:right="177"/>
              <w:contextualSpacing w:val="0"/>
              <w:jc w:val="both"/>
              <w:rPr>
                <w:rFonts w:ascii="Calibri" w:eastAsia="Calibri" w:hAnsi="Calibri" w:cs="Calibri"/>
              </w:rPr>
            </w:pPr>
            <w:r w:rsidRPr="00663F99">
              <w:rPr>
                <w:rFonts w:ascii="Calibri" w:eastAsia="Calibri" w:hAnsi="Calibri" w:cs="Calibri"/>
                <w:sz w:val="24"/>
                <w:szCs w:val="24"/>
                <w:u w:val="single"/>
              </w:rPr>
              <w:t>Follow up with Victim:</w:t>
            </w:r>
            <w:r w:rsidRPr="000A1541">
              <w:rPr>
                <w:rFonts w:ascii="Calibri"/>
                <w:sz w:val="28"/>
                <w:szCs w:val="28"/>
                <w:u w:val="single"/>
              </w:rPr>
              <w:t xml:space="preserve"> </w:t>
            </w:r>
            <w:r w:rsidRPr="000A1541">
              <w:rPr>
                <w:rFonts w:ascii="Calibri"/>
              </w:rPr>
              <w:t>Once a conversation has occurred with the HR representative, the dean contacts the victim(s) to keep them abreast of the status. If it is determined</w:t>
            </w:r>
            <w:r w:rsidRPr="000A1541">
              <w:rPr>
                <w:rFonts w:ascii="Calibri"/>
                <w:spacing w:val="11"/>
              </w:rPr>
              <w:t xml:space="preserve"> </w:t>
            </w:r>
            <w:r w:rsidRPr="000A1541">
              <w:rPr>
                <w:rFonts w:ascii="Calibri"/>
              </w:rPr>
              <w:t>that there</w:t>
            </w:r>
            <w:r w:rsidRPr="000A1541">
              <w:rPr>
                <w:rFonts w:ascii="Calibri"/>
                <w:spacing w:val="-1"/>
              </w:rPr>
              <w:t xml:space="preserve"> </w:t>
            </w:r>
            <w:r w:rsidRPr="000A1541">
              <w:rPr>
                <w:rFonts w:ascii="Calibri"/>
              </w:rPr>
              <w:t>is</w:t>
            </w:r>
            <w:r w:rsidRPr="000A1541">
              <w:rPr>
                <w:rFonts w:ascii="Calibri"/>
                <w:spacing w:val="-4"/>
              </w:rPr>
              <w:t xml:space="preserve"> </w:t>
            </w:r>
            <w:r w:rsidRPr="000A1541">
              <w:rPr>
                <w:rFonts w:ascii="Calibri"/>
              </w:rPr>
              <w:t>not</w:t>
            </w:r>
            <w:r w:rsidRPr="000A1541">
              <w:rPr>
                <w:rFonts w:ascii="Calibri"/>
                <w:spacing w:val="-3"/>
              </w:rPr>
              <w:t xml:space="preserve"> </w:t>
            </w:r>
            <w:r w:rsidRPr="000A1541">
              <w:rPr>
                <w:rFonts w:ascii="Calibri"/>
              </w:rPr>
              <w:t>enough</w:t>
            </w:r>
            <w:r w:rsidRPr="000A1541">
              <w:rPr>
                <w:rFonts w:ascii="Calibri"/>
                <w:spacing w:val="-2"/>
              </w:rPr>
              <w:t xml:space="preserve"> </w:t>
            </w:r>
            <w:r w:rsidRPr="000A1541">
              <w:rPr>
                <w:rFonts w:ascii="Calibri"/>
              </w:rPr>
              <w:t>evidence to support</w:t>
            </w:r>
            <w:r w:rsidRPr="000A1541">
              <w:rPr>
                <w:rFonts w:ascii="Calibri"/>
                <w:spacing w:val="-1"/>
              </w:rPr>
              <w:t xml:space="preserve"> </w:t>
            </w:r>
            <w:r w:rsidRPr="000A1541">
              <w:rPr>
                <w:rFonts w:ascii="Calibri"/>
              </w:rPr>
              <w:t>a</w:t>
            </w:r>
            <w:r w:rsidRPr="000A1541">
              <w:rPr>
                <w:rFonts w:ascii="Calibri"/>
                <w:spacing w:val="-3"/>
              </w:rPr>
              <w:t xml:space="preserve"> </w:t>
            </w:r>
            <w:r w:rsidRPr="000A1541">
              <w:rPr>
                <w:rFonts w:ascii="Calibri"/>
              </w:rPr>
              <w:t>case,</w:t>
            </w:r>
            <w:r w:rsidRPr="000A1541">
              <w:rPr>
                <w:rFonts w:ascii="Calibri"/>
                <w:spacing w:val="-3"/>
              </w:rPr>
              <w:t xml:space="preserve"> </w:t>
            </w:r>
            <w:r w:rsidRPr="000A1541">
              <w:rPr>
                <w:rFonts w:ascii="Calibri"/>
              </w:rPr>
              <w:t>the</w:t>
            </w:r>
            <w:r w:rsidRPr="000A1541">
              <w:rPr>
                <w:rFonts w:ascii="Calibri"/>
                <w:spacing w:val="-1"/>
              </w:rPr>
              <w:t xml:space="preserve"> </w:t>
            </w:r>
            <w:r w:rsidRPr="000A1541">
              <w:rPr>
                <w:rFonts w:ascii="Calibri"/>
              </w:rPr>
              <w:t>dean</w:t>
            </w:r>
            <w:r w:rsidRPr="000A1541">
              <w:rPr>
                <w:rFonts w:ascii="Calibri"/>
                <w:spacing w:val="-2"/>
              </w:rPr>
              <w:t xml:space="preserve"> </w:t>
            </w:r>
            <w:r w:rsidRPr="000A1541">
              <w:rPr>
                <w:rFonts w:ascii="Calibri"/>
              </w:rPr>
              <w:t>explains</w:t>
            </w:r>
            <w:r w:rsidRPr="000A1541">
              <w:rPr>
                <w:rFonts w:ascii="Calibri"/>
                <w:spacing w:val="-3"/>
              </w:rPr>
              <w:t xml:space="preserve"> </w:t>
            </w:r>
            <w:r w:rsidRPr="000A1541">
              <w:rPr>
                <w:rFonts w:ascii="Calibri"/>
              </w:rPr>
              <w:t>this</w:t>
            </w:r>
            <w:r w:rsidRPr="000A1541">
              <w:rPr>
                <w:rFonts w:ascii="Calibri"/>
                <w:spacing w:val="-1"/>
              </w:rPr>
              <w:t xml:space="preserve"> </w:t>
            </w:r>
            <w:r w:rsidRPr="000A1541">
              <w:rPr>
                <w:rFonts w:ascii="Calibri"/>
              </w:rPr>
              <w:t>to the</w:t>
            </w:r>
            <w:r w:rsidRPr="000A1541">
              <w:rPr>
                <w:rFonts w:ascii="Calibri"/>
                <w:spacing w:val="-1"/>
              </w:rPr>
              <w:t xml:space="preserve"> </w:t>
            </w:r>
            <w:r w:rsidRPr="000A1541">
              <w:rPr>
                <w:rFonts w:ascii="Calibri"/>
              </w:rPr>
              <w:t>victim</w:t>
            </w:r>
            <w:r w:rsidRPr="000A1541">
              <w:rPr>
                <w:rFonts w:ascii="Calibri"/>
                <w:spacing w:val="-1"/>
              </w:rPr>
              <w:t xml:space="preserve"> </w:t>
            </w:r>
            <w:r w:rsidRPr="000A1541">
              <w:rPr>
                <w:rFonts w:ascii="Calibri"/>
              </w:rPr>
              <w:t>and</w:t>
            </w:r>
            <w:r w:rsidRPr="000A1541">
              <w:rPr>
                <w:rFonts w:ascii="Calibri"/>
                <w:spacing w:val="-3"/>
              </w:rPr>
              <w:t xml:space="preserve"> </w:t>
            </w:r>
            <w:r w:rsidRPr="000A1541">
              <w:rPr>
                <w:rFonts w:ascii="Calibri"/>
              </w:rPr>
              <w:t>attempts</w:t>
            </w:r>
            <w:r w:rsidRPr="000A1541">
              <w:rPr>
                <w:rFonts w:ascii="Calibri"/>
                <w:spacing w:val="-3"/>
              </w:rPr>
              <w:t xml:space="preserve"> </w:t>
            </w:r>
            <w:r w:rsidRPr="000A1541">
              <w:rPr>
                <w:rFonts w:ascii="Calibri"/>
              </w:rPr>
              <w:t>to</w:t>
            </w:r>
            <w:r w:rsidRPr="000A1541">
              <w:rPr>
                <w:rFonts w:ascii="Calibri"/>
                <w:spacing w:val="-2"/>
              </w:rPr>
              <w:t xml:space="preserve"> </w:t>
            </w:r>
            <w:r w:rsidRPr="000A1541">
              <w:rPr>
                <w:rFonts w:ascii="Calibri"/>
              </w:rPr>
              <w:t>keep</w:t>
            </w:r>
            <w:r w:rsidRPr="000A1541">
              <w:rPr>
                <w:rFonts w:ascii="Calibri"/>
                <w:spacing w:val="-1"/>
              </w:rPr>
              <w:t xml:space="preserve"> </w:t>
            </w:r>
            <w:r w:rsidRPr="000A1541">
              <w:rPr>
                <w:rFonts w:ascii="Calibri"/>
              </w:rPr>
              <w:t>the</w:t>
            </w:r>
            <w:r w:rsidRPr="000A1541">
              <w:rPr>
                <w:rFonts w:ascii="Calibri"/>
                <w:spacing w:val="-1"/>
              </w:rPr>
              <w:t xml:space="preserve"> </w:t>
            </w:r>
            <w:r w:rsidRPr="000A1541">
              <w:rPr>
                <w:rFonts w:ascii="Calibri"/>
              </w:rPr>
              <w:t>victim</w:t>
            </w:r>
            <w:r w:rsidRPr="000A1541">
              <w:rPr>
                <w:rFonts w:ascii="Calibri"/>
                <w:spacing w:val="-2"/>
              </w:rPr>
              <w:t xml:space="preserve"> </w:t>
            </w:r>
            <w:r w:rsidRPr="000A1541">
              <w:rPr>
                <w:rFonts w:ascii="Calibri"/>
              </w:rPr>
              <w:t>safe</w:t>
            </w:r>
            <w:r w:rsidRPr="000A1541">
              <w:rPr>
                <w:rFonts w:ascii="Calibri"/>
                <w:spacing w:val="-3"/>
              </w:rPr>
              <w:t xml:space="preserve"> </w:t>
            </w:r>
            <w:r w:rsidRPr="000A1541">
              <w:rPr>
                <w:rFonts w:ascii="Calibri"/>
              </w:rPr>
              <w:t>and</w:t>
            </w:r>
            <w:r w:rsidRPr="000A1541">
              <w:rPr>
                <w:rFonts w:ascii="Calibri"/>
                <w:spacing w:val="4"/>
              </w:rPr>
              <w:t xml:space="preserve"> </w:t>
            </w:r>
            <w:r w:rsidRPr="000A1541">
              <w:rPr>
                <w:rFonts w:ascii="Calibri"/>
              </w:rPr>
              <w:t>comfortable</w:t>
            </w:r>
            <w:r w:rsidRPr="000A1541">
              <w:rPr>
                <w:rFonts w:ascii="Calibri"/>
                <w:spacing w:val="-1"/>
              </w:rPr>
              <w:t xml:space="preserve"> </w:t>
            </w:r>
            <w:r w:rsidRPr="000A1541">
              <w:rPr>
                <w:rFonts w:ascii="Calibri"/>
              </w:rPr>
              <w:t>in</w:t>
            </w:r>
            <w:r w:rsidRPr="000A1541">
              <w:rPr>
                <w:rFonts w:ascii="Calibri"/>
                <w:spacing w:val="-1"/>
              </w:rPr>
              <w:t xml:space="preserve"> </w:t>
            </w:r>
            <w:r w:rsidRPr="000A1541">
              <w:rPr>
                <w:rFonts w:ascii="Calibri"/>
              </w:rPr>
              <w:t>the</w:t>
            </w:r>
            <w:r w:rsidRPr="000A1541">
              <w:rPr>
                <w:rFonts w:ascii="Calibri"/>
                <w:spacing w:val="-1"/>
              </w:rPr>
              <w:t xml:space="preserve"> </w:t>
            </w:r>
            <w:r w:rsidRPr="000A1541">
              <w:rPr>
                <w:rFonts w:ascii="Calibri"/>
              </w:rPr>
              <w:t xml:space="preserve">learning environment.  </w:t>
            </w:r>
            <w:r w:rsidRPr="000A1541">
              <w:t> </w:t>
            </w:r>
          </w:p>
          <w:p w:rsidR="00A86E7B" w:rsidRPr="00FB7C96" w:rsidRDefault="00A86E7B" w:rsidP="00A86E7B">
            <w:pPr>
              <w:pStyle w:val="ListParagraph"/>
              <w:widowControl w:val="0"/>
              <w:numPr>
                <w:ilvl w:val="0"/>
                <w:numId w:val="9"/>
              </w:numPr>
              <w:tabs>
                <w:tab w:val="left" w:pos="880"/>
              </w:tabs>
              <w:spacing w:line="276" w:lineRule="auto"/>
              <w:ind w:right="408"/>
              <w:contextualSpacing w:val="0"/>
              <w:rPr>
                <w:rFonts w:ascii="Calibri" w:eastAsia="Calibri" w:hAnsi="Calibri" w:cs="Calibri"/>
              </w:rPr>
            </w:pPr>
            <w:r w:rsidRPr="00663F99">
              <w:rPr>
                <w:rFonts w:ascii="Calibri" w:eastAsia="Calibri" w:hAnsi="Calibri" w:cs="Calibri"/>
                <w:sz w:val="24"/>
                <w:szCs w:val="24"/>
                <w:u w:val="single"/>
              </w:rPr>
              <w:t>Accused (faculty/staff) Interview:</w:t>
            </w:r>
            <w:r w:rsidRPr="000A1541">
              <w:rPr>
                <w:rFonts w:ascii="Calibri" w:eastAsia="Calibri" w:hAnsi="Calibri" w:cs="Calibri"/>
                <w:sz w:val="28"/>
                <w:szCs w:val="28"/>
                <w:u w:val="single"/>
              </w:rPr>
              <w:t xml:space="preserve"> </w:t>
            </w:r>
            <w:r w:rsidRPr="000A1541">
              <w:rPr>
                <w:rFonts w:ascii="Calibri"/>
              </w:rPr>
              <w:t>If</w:t>
            </w:r>
            <w:r w:rsidRPr="000A1541">
              <w:rPr>
                <w:rFonts w:ascii="Calibri"/>
                <w:spacing w:val="-1"/>
              </w:rPr>
              <w:t xml:space="preserve"> </w:t>
            </w:r>
            <w:r w:rsidRPr="000A1541">
              <w:rPr>
                <w:rFonts w:ascii="Calibri"/>
              </w:rPr>
              <w:t>the</w:t>
            </w:r>
            <w:r w:rsidRPr="000A1541">
              <w:rPr>
                <w:rFonts w:ascii="Calibri"/>
                <w:spacing w:val="-1"/>
              </w:rPr>
              <w:t xml:space="preserve"> </w:t>
            </w:r>
            <w:r w:rsidRPr="000A1541">
              <w:rPr>
                <w:rFonts w:ascii="Calibri"/>
                <w:u w:val="single"/>
              </w:rPr>
              <w:t>accused</w:t>
            </w:r>
            <w:r w:rsidRPr="000A1541">
              <w:rPr>
                <w:rFonts w:ascii="Calibri"/>
                <w:spacing w:val="-2"/>
                <w:u w:val="single"/>
              </w:rPr>
              <w:t xml:space="preserve"> </w:t>
            </w:r>
            <w:r w:rsidRPr="000A1541">
              <w:rPr>
                <w:rFonts w:ascii="Calibri"/>
                <w:u w:val="single"/>
              </w:rPr>
              <w:t>is</w:t>
            </w:r>
            <w:r w:rsidRPr="000A1541">
              <w:rPr>
                <w:rFonts w:ascii="Calibri"/>
                <w:spacing w:val="-1"/>
                <w:u w:val="single"/>
              </w:rPr>
              <w:t xml:space="preserve"> </w:t>
            </w:r>
            <w:r w:rsidRPr="000A1541">
              <w:rPr>
                <w:rFonts w:ascii="Calibri"/>
                <w:u w:val="single"/>
              </w:rPr>
              <w:t>a</w:t>
            </w:r>
            <w:r w:rsidRPr="000A1541">
              <w:rPr>
                <w:rFonts w:ascii="Calibri"/>
                <w:spacing w:val="-4"/>
                <w:u w:val="single"/>
              </w:rPr>
              <w:t xml:space="preserve"> </w:t>
            </w:r>
            <w:r w:rsidRPr="000A1541">
              <w:rPr>
                <w:rFonts w:ascii="Calibri"/>
                <w:u w:val="single"/>
              </w:rPr>
              <w:t>faculty/staff</w:t>
            </w:r>
            <w:r w:rsidRPr="000A1541">
              <w:rPr>
                <w:rFonts w:ascii="Calibri"/>
                <w:spacing w:val="-1"/>
                <w:u w:val="single"/>
              </w:rPr>
              <w:t xml:space="preserve"> </w:t>
            </w:r>
            <w:r w:rsidRPr="000A1541">
              <w:rPr>
                <w:rFonts w:ascii="Calibri"/>
                <w:u w:val="single"/>
              </w:rPr>
              <w:t>member</w:t>
            </w:r>
            <w:r w:rsidRPr="000A1541">
              <w:rPr>
                <w:rFonts w:ascii="Calibri"/>
              </w:rPr>
              <w:t>,</w:t>
            </w:r>
            <w:r w:rsidRPr="000A1541">
              <w:rPr>
                <w:rFonts w:ascii="Calibri"/>
                <w:spacing w:val="-3"/>
              </w:rPr>
              <w:t xml:space="preserve"> </w:t>
            </w:r>
            <w:r w:rsidRPr="000A1541">
              <w:rPr>
                <w:rFonts w:ascii="Calibri"/>
              </w:rPr>
              <w:t>the</w:t>
            </w:r>
            <w:r w:rsidRPr="000A1541">
              <w:rPr>
                <w:rFonts w:ascii="Calibri"/>
                <w:spacing w:val="-1"/>
              </w:rPr>
              <w:t xml:space="preserve"> </w:t>
            </w:r>
            <w:r w:rsidRPr="000A1541">
              <w:rPr>
                <w:rFonts w:ascii="Calibri"/>
              </w:rPr>
              <w:t>HR</w:t>
            </w:r>
            <w:r w:rsidRPr="000A1541">
              <w:rPr>
                <w:rFonts w:ascii="Calibri"/>
                <w:spacing w:val="-3"/>
              </w:rPr>
              <w:t xml:space="preserve"> </w:t>
            </w:r>
            <w:r w:rsidRPr="000A1541">
              <w:rPr>
                <w:rFonts w:ascii="Calibri"/>
              </w:rPr>
              <w:t>representative</w:t>
            </w:r>
            <w:r w:rsidRPr="000A1541">
              <w:rPr>
                <w:rFonts w:ascii="Calibri"/>
                <w:spacing w:val="-1"/>
              </w:rPr>
              <w:t xml:space="preserve"> </w:t>
            </w:r>
            <w:r w:rsidRPr="000A1541">
              <w:rPr>
                <w:rFonts w:ascii="Calibri"/>
              </w:rPr>
              <w:t>follows</w:t>
            </w:r>
            <w:r w:rsidRPr="000A1541">
              <w:rPr>
                <w:rFonts w:ascii="Calibri"/>
                <w:spacing w:val="-3"/>
              </w:rPr>
              <w:t xml:space="preserve"> </w:t>
            </w:r>
            <w:r w:rsidRPr="000A1541">
              <w:rPr>
                <w:rFonts w:ascii="Calibri"/>
              </w:rPr>
              <w:t>the</w:t>
            </w:r>
            <w:r w:rsidRPr="000A1541">
              <w:rPr>
                <w:rFonts w:ascii="Calibri"/>
                <w:spacing w:val="-3"/>
              </w:rPr>
              <w:t xml:space="preserve"> </w:t>
            </w:r>
            <w:r w:rsidRPr="000A1541">
              <w:rPr>
                <w:rFonts w:ascii="Calibri"/>
              </w:rPr>
              <w:t>employee</w:t>
            </w:r>
            <w:r w:rsidRPr="000A1541">
              <w:rPr>
                <w:rFonts w:ascii="Calibri"/>
                <w:spacing w:val="-1"/>
              </w:rPr>
              <w:t xml:space="preserve"> </w:t>
            </w:r>
            <w:r w:rsidRPr="000A1541">
              <w:rPr>
                <w:rFonts w:ascii="Calibri"/>
              </w:rPr>
              <w:t>group</w:t>
            </w:r>
            <w:r w:rsidRPr="000A1541">
              <w:rPr>
                <w:rFonts w:ascii="Calibri"/>
                <w:spacing w:val="-2"/>
              </w:rPr>
              <w:t xml:space="preserve"> </w:t>
            </w:r>
            <w:r w:rsidRPr="000A1541">
              <w:rPr>
                <w:rFonts w:ascii="Calibri"/>
              </w:rPr>
              <w:t>policy</w:t>
            </w:r>
            <w:r w:rsidRPr="000A1541">
              <w:rPr>
                <w:rFonts w:ascii="Calibri"/>
                <w:spacing w:val="-3"/>
              </w:rPr>
              <w:t xml:space="preserve"> </w:t>
            </w:r>
            <w:r w:rsidRPr="000A1541">
              <w:rPr>
                <w:rFonts w:ascii="Calibri"/>
              </w:rPr>
              <w:t>manuals</w:t>
            </w:r>
            <w:r w:rsidRPr="000A1541">
              <w:rPr>
                <w:rFonts w:ascii="Calibri"/>
                <w:spacing w:val="-4"/>
              </w:rPr>
              <w:t xml:space="preserve"> </w:t>
            </w:r>
            <w:r w:rsidRPr="000A1541">
              <w:rPr>
                <w:rFonts w:ascii="Calibri"/>
              </w:rPr>
              <w:t>to determine</w:t>
            </w:r>
            <w:r w:rsidRPr="000A1541">
              <w:rPr>
                <w:rFonts w:ascii="Calibri"/>
                <w:spacing w:val="-1"/>
              </w:rPr>
              <w:t xml:space="preserve"> </w:t>
            </w:r>
            <w:r w:rsidRPr="000A1541">
              <w:rPr>
                <w:rFonts w:ascii="Calibri"/>
              </w:rPr>
              <w:t>next</w:t>
            </w:r>
            <w:r w:rsidRPr="000A1541">
              <w:rPr>
                <w:rFonts w:ascii="Calibri"/>
                <w:spacing w:val="-3"/>
              </w:rPr>
              <w:t xml:space="preserve"> </w:t>
            </w:r>
            <w:r w:rsidRPr="000A1541">
              <w:rPr>
                <w:rFonts w:ascii="Calibri"/>
              </w:rPr>
              <w:t>steps,</w:t>
            </w:r>
            <w:r w:rsidRPr="000A1541">
              <w:rPr>
                <w:rFonts w:ascii="Calibri"/>
                <w:spacing w:val="-4"/>
              </w:rPr>
              <w:t xml:space="preserve"> </w:t>
            </w:r>
            <w:r w:rsidRPr="000A1541">
              <w:rPr>
                <w:rFonts w:ascii="Calibri"/>
              </w:rPr>
              <w:t>generally</w:t>
            </w:r>
            <w:r w:rsidRPr="000A1541">
              <w:rPr>
                <w:rFonts w:ascii="Calibri"/>
                <w:spacing w:val="-3"/>
              </w:rPr>
              <w:t xml:space="preserve"> </w:t>
            </w:r>
            <w:r w:rsidRPr="000A1541">
              <w:rPr>
                <w:rFonts w:ascii="Calibri"/>
              </w:rPr>
              <w:t>with</w:t>
            </w:r>
            <w:r w:rsidRPr="000A1541">
              <w:rPr>
                <w:rFonts w:ascii="Calibri"/>
                <w:spacing w:val="-3"/>
              </w:rPr>
              <w:t xml:space="preserve"> </w:t>
            </w:r>
            <w:r w:rsidRPr="000A1541">
              <w:rPr>
                <w:rFonts w:ascii="Calibri"/>
              </w:rPr>
              <w:t>the direct supervisor of the accused</w:t>
            </w:r>
            <w:r w:rsidRPr="000A1541">
              <w:rPr>
                <w:rFonts w:ascii="Calibri"/>
                <w:spacing w:val="-4"/>
              </w:rPr>
              <w:t xml:space="preserve"> </w:t>
            </w:r>
            <w:r w:rsidRPr="000A1541">
              <w:rPr>
                <w:rFonts w:ascii="Calibri"/>
              </w:rPr>
              <w:t>present.</w:t>
            </w:r>
          </w:p>
          <w:p w:rsidR="00A86E7B" w:rsidRPr="00BC51C8" w:rsidRDefault="00A86E7B" w:rsidP="00A86E7B">
            <w:pPr>
              <w:pStyle w:val="ListParagraph"/>
              <w:widowControl w:val="0"/>
              <w:numPr>
                <w:ilvl w:val="0"/>
                <w:numId w:val="9"/>
              </w:numPr>
              <w:tabs>
                <w:tab w:val="left" w:pos="880"/>
              </w:tabs>
              <w:spacing w:line="276" w:lineRule="auto"/>
              <w:ind w:right="408"/>
              <w:contextualSpacing w:val="0"/>
            </w:pPr>
            <w:r w:rsidRPr="00663F99">
              <w:rPr>
                <w:rFonts w:ascii="Calibri" w:eastAsia="Calibri" w:hAnsi="Calibri" w:cs="Calibri"/>
                <w:sz w:val="24"/>
                <w:szCs w:val="24"/>
                <w:u w:val="single"/>
              </w:rPr>
              <w:t>Accused (student) Interview:</w:t>
            </w:r>
            <w:r w:rsidRPr="000A1541">
              <w:rPr>
                <w:rFonts w:ascii="Calibri" w:eastAsia="Calibri" w:hAnsi="Calibri" w:cs="Calibri"/>
                <w:sz w:val="28"/>
                <w:szCs w:val="28"/>
                <w:u w:val="single"/>
              </w:rPr>
              <w:t xml:space="preserve"> </w:t>
            </w:r>
            <w:r w:rsidRPr="000A1541">
              <w:rPr>
                <w:rFonts w:ascii="Calibri" w:eastAsia="Calibri" w:hAnsi="Calibri" w:cs="Calibri"/>
              </w:rPr>
              <w:t>If</w:t>
            </w:r>
            <w:r w:rsidRPr="000A1541">
              <w:rPr>
                <w:rFonts w:ascii="Calibri" w:eastAsia="Calibri" w:hAnsi="Calibri" w:cs="Calibri"/>
                <w:spacing w:val="-1"/>
              </w:rPr>
              <w:t xml:space="preserve"> </w:t>
            </w:r>
            <w:r w:rsidRPr="000A1541">
              <w:rPr>
                <w:rFonts w:ascii="Calibri" w:eastAsia="Calibri" w:hAnsi="Calibri" w:cs="Calibri"/>
              </w:rPr>
              <w:t>the</w:t>
            </w:r>
            <w:r>
              <w:rPr>
                <w:rFonts w:ascii="Calibri" w:eastAsia="Calibri" w:hAnsi="Calibri" w:cs="Calibri"/>
                <w:spacing w:val="-1"/>
              </w:rPr>
              <w:t xml:space="preserve"> </w:t>
            </w:r>
            <w:r w:rsidRPr="00833D5D">
              <w:rPr>
                <w:rFonts w:ascii="Calibri" w:eastAsia="Calibri" w:hAnsi="Calibri" w:cs="Calibri"/>
                <w:u w:val="single"/>
              </w:rPr>
              <w:t>accused</w:t>
            </w:r>
            <w:r w:rsidRPr="00833D5D">
              <w:rPr>
                <w:rFonts w:ascii="Calibri" w:eastAsia="Calibri" w:hAnsi="Calibri" w:cs="Calibri"/>
                <w:spacing w:val="-2"/>
                <w:u w:val="single"/>
              </w:rPr>
              <w:t xml:space="preserve"> </w:t>
            </w:r>
            <w:r w:rsidRPr="00833D5D">
              <w:rPr>
                <w:rFonts w:ascii="Calibri" w:eastAsia="Calibri" w:hAnsi="Calibri" w:cs="Calibri"/>
                <w:u w:val="single"/>
              </w:rPr>
              <w:t>is</w:t>
            </w:r>
            <w:r w:rsidRPr="00833D5D">
              <w:rPr>
                <w:rFonts w:ascii="Calibri" w:eastAsia="Calibri" w:hAnsi="Calibri" w:cs="Calibri"/>
                <w:spacing w:val="-1"/>
                <w:u w:val="single"/>
              </w:rPr>
              <w:t xml:space="preserve"> </w:t>
            </w:r>
            <w:r w:rsidRPr="00833D5D">
              <w:rPr>
                <w:rFonts w:ascii="Calibri" w:eastAsia="Calibri" w:hAnsi="Calibri" w:cs="Calibri"/>
                <w:u w:val="single"/>
              </w:rPr>
              <w:t>a</w:t>
            </w:r>
            <w:r w:rsidRPr="00833D5D">
              <w:rPr>
                <w:rFonts w:ascii="Calibri" w:eastAsia="Calibri" w:hAnsi="Calibri" w:cs="Calibri"/>
                <w:spacing w:val="-4"/>
                <w:u w:val="single"/>
              </w:rPr>
              <w:t xml:space="preserve"> </w:t>
            </w:r>
            <w:r w:rsidRPr="00833D5D">
              <w:rPr>
                <w:rFonts w:ascii="Calibri" w:eastAsia="Calibri" w:hAnsi="Calibri" w:cs="Calibri"/>
                <w:u w:val="single"/>
              </w:rPr>
              <w:t>student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dean’s</w:t>
            </w:r>
            <w:r>
              <w:rPr>
                <w:rFonts w:ascii="Calibri" w:eastAsia="Calibri" w:hAnsi="Calibri" w:cs="Calibri"/>
                <w:spacing w:val="-4"/>
              </w:rPr>
              <w:t xml:space="preserve"> </w:t>
            </w:r>
            <w:r>
              <w:rPr>
                <w:rFonts w:ascii="Calibri" w:eastAsia="Calibri" w:hAnsi="Calibri" w:cs="Calibri"/>
              </w:rPr>
              <w:t>office</w:t>
            </w:r>
            <w:r>
              <w:rPr>
                <w:rFonts w:ascii="Calibri" w:eastAsia="Calibri" w:hAnsi="Calibri" w:cs="Calibri"/>
                <w:spacing w:val="-1"/>
              </w:rPr>
              <w:t xml:space="preserve"> </w:t>
            </w:r>
            <w:r>
              <w:rPr>
                <w:rFonts w:ascii="Calibri" w:eastAsia="Calibri" w:hAnsi="Calibri" w:cs="Calibri"/>
              </w:rPr>
              <w:t>interviews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accused,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well,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determines</w:t>
            </w:r>
            <w:r>
              <w:rPr>
                <w:rFonts w:ascii="Calibri" w:eastAsia="Calibri" w:hAnsi="Calibri" w:cs="Calibri"/>
                <w:spacing w:val="-1"/>
              </w:rPr>
              <w:t xml:space="preserve"> </w:t>
            </w:r>
            <w:r>
              <w:rPr>
                <w:rFonts w:ascii="Calibri" w:eastAsia="Calibri" w:hAnsi="Calibri" w:cs="Calibri"/>
              </w:rPr>
              <w:t>sanction(s)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possible</w:t>
            </w:r>
            <w:r>
              <w:rPr>
                <w:rFonts w:ascii="Calibri" w:eastAsia="Calibri" w:hAnsi="Calibri" w:cs="Calibri"/>
                <w:spacing w:val="-1"/>
              </w:rPr>
              <w:t xml:space="preserve"> </w:t>
            </w:r>
            <w:r>
              <w:rPr>
                <w:rFonts w:ascii="Calibri" w:eastAsia="Calibri" w:hAnsi="Calibri" w:cs="Calibri"/>
              </w:rPr>
              <w:t>remedies</w:t>
            </w:r>
            <w:r>
              <w:rPr>
                <w:rFonts w:ascii="Calibri" w:eastAsia="Calibri" w:hAnsi="Calibri" w:cs="Calibri"/>
                <w:spacing w:val="-3"/>
              </w:rPr>
              <w:t xml:space="preserve"> </w:t>
            </w:r>
            <w:r>
              <w:rPr>
                <w:rFonts w:ascii="Calibri" w:eastAsia="Calibri" w:hAnsi="Calibri" w:cs="Calibri"/>
              </w:rPr>
              <w:t>to the</w:t>
            </w:r>
            <w:r>
              <w:rPr>
                <w:rFonts w:ascii="Calibri" w:eastAsia="Calibri" w:hAnsi="Calibri" w:cs="Calibri"/>
                <w:spacing w:val="-3"/>
              </w:rPr>
              <w:t xml:space="preserve"> </w:t>
            </w:r>
            <w:r>
              <w:rPr>
                <w:rFonts w:ascii="Calibri" w:eastAsia="Calibri" w:hAnsi="Calibri" w:cs="Calibri"/>
              </w:rPr>
              <w:t>situation</w:t>
            </w:r>
            <w:r>
              <w:rPr>
                <w:rFonts w:ascii="Calibri" w:eastAsia="Calibri" w:hAnsi="Calibri" w:cs="Calibri"/>
                <w:spacing w:val="-2"/>
              </w:rPr>
              <w:t xml:space="preserve"> </w:t>
            </w:r>
            <w:r>
              <w:rPr>
                <w:rFonts w:ascii="Calibri" w:eastAsia="Calibri" w:hAnsi="Calibri" w:cs="Calibri"/>
              </w:rPr>
              <w:t>between the two parties.</w:t>
            </w:r>
          </w:p>
          <w:p w:rsidR="004F26F1" w:rsidRDefault="004F26F1" w:rsidP="00A80870">
            <w:pPr>
              <w:rPr>
                <w:rFonts w:ascii="Calibri" w:eastAsia="Calibri" w:hAnsi="Calibri" w:cs="Calibri"/>
              </w:rPr>
            </w:pPr>
          </w:p>
          <w:p w:rsidR="004F26F1" w:rsidRPr="00A80870" w:rsidRDefault="004F26F1" w:rsidP="00A86E7B">
            <w:pPr>
              <w:rPr>
                <w:rFonts w:ascii="Calibri" w:eastAsia="Calibri" w:hAnsi="Calibri" w:cs="Calibri"/>
              </w:rPr>
            </w:pPr>
          </w:p>
        </w:tc>
      </w:tr>
      <w:tr w:rsidR="004F26F1" w:rsidTr="00E448A5">
        <w:trPr>
          <w:jc w:val="center"/>
        </w:trPr>
        <w:tc>
          <w:tcPr>
            <w:tcW w:w="8455" w:type="dxa"/>
            <w:gridSpan w:val="3"/>
            <w:vAlign w:val="center"/>
          </w:tcPr>
          <w:p w:rsidR="004F26F1" w:rsidRDefault="004F26F1">
            <w:r>
              <w:rPr>
                <w:sz w:val="36"/>
                <w:szCs w:val="36"/>
              </w:rPr>
              <w:t>Conclusion/Findings</w:t>
            </w:r>
          </w:p>
        </w:tc>
        <w:tc>
          <w:tcPr>
            <w:tcW w:w="3240" w:type="dxa"/>
          </w:tcPr>
          <w:p w:rsidR="004F26F1" w:rsidRDefault="004E6EFF" w:rsidP="004F26F1">
            <w:pPr>
              <w:jc w:val="center"/>
            </w:pPr>
            <w:r>
              <w:rPr>
                <w:sz w:val="24"/>
                <w:szCs w:val="24"/>
              </w:rPr>
              <w:t>Description</w:t>
            </w:r>
          </w:p>
        </w:tc>
        <w:tc>
          <w:tcPr>
            <w:tcW w:w="2520" w:type="dxa"/>
          </w:tcPr>
          <w:p w:rsidR="004F26F1" w:rsidRPr="00A80870" w:rsidRDefault="004F26F1" w:rsidP="004F26F1">
            <w:pPr>
              <w:widowControl w:val="0"/>
              <w:tabs>
                <w:tab w:val="left" w:pos="880"/>
              </w:tabs>
              <w:spacing w:before="41" w:line="276" w:lineRule="auto"/>
              <w:ind w:left="72" w:right="72"/>
              <w:jc w:val="center"/>
              <w:rPr>
                <w:rFonts w:ascii="Calibri" w:eastAsia="Calibri" w:hAnsi="Calibri" w:cs="Calibri"/>
              </w:rPr>
            </w:pPr>
            <w:r w:rsidRPr="0039097D">
              <w:rPr>
                <w:sz w:val="24"/>
                <w:szCs w:val="24"/>
              </w:rPr>
              <w:t>Action Items</w:t>
            </w:r>
          </w:p>
        </w:tc>
      </w:tr>
      <w:tr w:rsidR="004F26F1" w:rsidTr="00E448A5">
        <w:trPr>
          <w:jc w:val="center"/>
        </w:trPr>
        <w:tc>
          <w:tcPr>
            <w:tcW w:w="990" w:type="dxa"/>
            <w:vMerge w:val="restart"/>
            <w:vAlign w:val="center"/>
          </w:tcPr>
          <w:p w:rsidR="004F26F1" w:rsidRPr="00217911" w:rsidRDefault="004F26F1" w:rsidP="00217911">
            <w:pPr>
              <w:jc w:val="center"/>
              <w:rPr>
                <w:sz w:val="48"/>
                <w:szCs w:val="48"/>
              </w:rPr>
            </w:pPr>
            <w:r w:rsidRPr="00217911">
              <w:rPr>
                <w:sz w:val="48"/>
                <w:szCs w:val="48"/>
              </w:rPr>
              <w:t>5</w:t>
            </w:r>
          </w:p>
        </w:tc>
        <w:tc>
          <w:tcPr>
            <w:tcW w:w="7465" w:type="dxa"/>
            <w:gridSpan w:val="2"/>
          </w:tcPr>
          <w:p w:rsidR="004F26F1" w:rsidRDefault="004F26F1" w:rsidP="004E6EFF">
            <w:pPr>
              <w:pStyle w:val="ListParagraph"/>
              <w:numPr>
                <w:ilvl w:val="0"/>
                <w:numId w:val="11"/>
              </w:numPr>
            </w:pPr>
            <w:r>
              <w:t>Communicate findings and recommendations and share with key players</w:t>
            </w:r>
          </w:p>
          <w:p w:rsidR="004F26F1" w:rsidRDefault="004F26F1" w:rsidP="004E6EFF">
            <w:pPr>
              <w:pStyle w:val="ListParagraph"/>
              <w:numPr>
                <w:ilvl w:val="0"/>
                <w:numId w:val="11"/>
              </w:numPr>
            </w:pPr>
            <w:r>
              <w:t>Provide recommendations only – not personnel actions</w:t>
            </w:r>
          </w:p>
          <w:p w:rsidR="004F26F1" w:rsidRDefault="004F26F1" w:rsidP="004E6EFF">
            <w:pPr>
              <w:pStyle w:val="ListParagraph"/>
              <w:numPr>
                <w:ilvl w:val="0"/>
                <w:numId w:val="11"/>
              </w:numPr>
            </w:pPr>
            <w:r>
              <w:t>Identify procedural gaps</w:t>
            </w:r>
          </w:p>
        </w:tc>
        <w:tc>
          <w:tcPr>
            <w:tcW w:w="3240" w:type="dxa"/>
          </w:tcPr>
          <w:p w:rsidR="004F26F1" w:rsidRDefault="004F26F1"/>
        </w:tc>
        <w:tc>
          <w:tcPr>
            <w:tcW w:w="2520" w:type="dxa"/>
          </w:tcPr>
          <w:p w:rsidR="004F26F1" w:rsidRPr="00A80870" w:rsidRDefault="004F26F1" w:rsidP="00327294">
            <w:pPr>
              <w:widowControl w:val="0"/>
              <w:tabs>
                <w:tab w:val="left" w:pos="880"/>
              </w:tabs>
              <w:spacing w:before="41" w:line="276" w:lineRule="auto"/>
              <w:ind w:left="72" w:right="72"/>
              <w:rPr>
                <w:rFonts w:ascii="Calibri" w:eastAsia="Calibri" w:hAnsi="Calibri" w:cs="Calibri"/>
              </w:rPr>
            </w:pPr>
          </w:p>
        </w:tc>
      </w:tr>
      <w:tr w:rsidR="00A80870" w:rsidTr="00E448A5">
        <w:trPr>
          <w:jc w:val="center"/>
        </w:trPr>
        <w:tc>
          <w:tcPr>
            <w:tcW w:w="990" w:type="dxa"/>
            <w:vMerge/>
            <w:vAlign w:val="center"/>
          </w:tcPr>
          <w:p w:rsidR="00A80870" w:rsidRPr="00217911" w:rsidRDefault="00A80870" w:rsidP="00217911">
            <w:pPr>
              <w:jc w:val="center"/>
              <w:rPr>
                <w:sz w:val="48"/>
                <w:szCs w:val="48"/>
              </w:rPr>
            </w:pPr>
          </w:p>
        </w:tc>
        <w:tc>
          <w:tcPr>
            <w:tcW w:w="13225" w:type="dxa"/>
            <w:gridSpan w:val="4"/>
          </w:tcPr>
          <w:p w:rsidR="004F26F1" w:rsidRDefault="004F26F1" w:rsidP="00327294">
            <w:pPr>
              <w:rPr>
                <w:rFonts w:ascii="Calibri" w:eastAsia="Calibri" w:hAnsi="Calibri" w:cs="Calibri"/>
              </w:rPr>
            </w:pPr>
          </w:p>
          <w:p w:rsidR="00327294" w:rsidRDefault="00327294" w:rsidP="00327294">
            <w:pPr>
              <w:rPr>
                <w:rFonts w:ascii="Calibri" w:eastAsia="Calibri" w:hAnsi="Calibri" w:cs="Calibri"/>
              </w:rPr>
            </w:pPr>
            <w:r w:rsidRPr="00A80870">
              <w:rPr>
                <w:rFonts w:ascii="Calibri" w:eastAsia="Calibri" w:hAnsi="Calibri" w:cs="Calibri"/>
              </w:rPr>
              <w:t>Summary of findings: Following this meeting, the VP and DI will convene with the complainant to communicate summary of findings, hear complainant’s final thoughts and recommendations on process improvements where/if applicable.  </w:t>
            </w:r>
          </w:p>
          <w:p w:rsidR="00327294" w:rsidRDefault="00327294" w:rsidP="00327294">
            <w:pPr>
              <w:rPr>
                <w:rFonts w:ascii="Calibri" w:eastAsia="Calibri" w:hAnsi="Calibri" w:cs="Calibri"/>
              </w:rPr>
            </w:pPr>
            <w:r>
              <w:rPr>
                <w:rFonts w:ascii="Calibri" w:eastAsia="Calibri" w:hAnsi="Calibri" w:cs="Calibri"/>
              </w:rPr>
              <w:t>The victim is not always told the outcome of the sanctions – whether with faculty, staff or fellow student. However, the victim is always assured</w:t>
            </w:r>
            <w:r w:rsidRPr="00A80870">
              <w:rPr>
                <w:rFonts w:ascii="Calibri" w:eastAsia="Calibri" w:hAnsi="Calibri" w:cs="Calibri"/>
              </w:rPr>
              <w:t xml:space="preserve"> via</w:t>
            </w:r>
            <w:r>
              <w:rPr>
                <w:rFonts w:ascii="Calibri" w:eastAsia="Calibri" w:hAnsi="Calibri" w:cs="Calibri"/>
              </w:rPr>
              <w:t xml:space="preserve"> letter</w:t>
            </w:r>
            <w:r w:rsidRPr="00A80870">
              <w:rPr>
                <w:rFonts w:ascii="Calibri" w:eastAsia="Calibri" w:hAnsi="Calibri" w:cs="Calibri"/>
              </w:rPr>
              <w:t xml:space="preserve"> </w:t>
            </w:r>
            <w:r>
              <w:rPr>
                <w:rFonts w:ascii="Calibri" w:eastAsia="Calibri" w:hAnsi="Calibri" w:cs="Calibri"/>
              </w:rPr>
              <w:t>and</w:t>
            </w:r>
            <w:r w:rsidRPr="00A80870">
              <w:rPr>
                <w:rFonts w:ascii="Calibri" w:eastAsia="Calibri" w:hAnsi="Calibri" w:cs="Calibri"/>
              </w:rPr>
              <w:t xml:space="preserve"> </w:t>
            </w:r>
            <w:r>
              <w:rPr>
                <w:rFonts w:ascii="Calibri" w:eastAsia="Calibri" w:hAnsi="Calibri" w:cs="Calibri"/>
              </w:rPr>
              <w:t>meeting</w:t>
            </w:r>
            <w:r w:rsidRPr="00A80870">
              <w:rPr>
                <w:rFonts w:ascii="Calibri" w:eastAsia="Calibri" w:hAnsi="Calibri" w:cs="Calibri"/>
              </w:rPr>
              <w:t xml:space="preserve"> </w:t>
            </w:r>
            <w:r>
              <w:rPr>
                <w:rFonts w:ascii="Calibri" w:eastAsia="Calibri" w:hAnsi="Calibri" w:cs="Calibri"/>
              </w:rPr>
              <w:t>(over</w:t>
            </w:r>
            <w:r w:rsidRPr="00A80870">
              <w:rPr>
                <w:rFonts w:ascii="Calibri" w:eastAsia="Calibri" w:hAnsi="Calibri" w:cs="Calibri"/>
              </w:rPr>
              <w:t xml:space="preserve"> </w:t>
            </w:r>
            <w:r>
              <w:rPr>
                <w:rFonts w:ascii="Calibri" w:eastAsia="Calibri" w:hAnsi="Calibri" w:cs="Calibri"/>
              </w:rPr>
              <w:t>the</w:t>
            </w:r>
            <w:r w:rsidRPr="00A80870">
              <w:rPr>
                <w:rFonts w:ascii="Calibri" w:eastAsia="Calibri" w:hAnsi="Calibri" w:cs="Calibri"/>
              </w:rPr>
              <w:t xml:space="preserve"> </w:t>
            </w:r>
            <w:r>
              <w:rPr>
                <w:rFonts w:ascii="Calibri" w:eastAsia="Calibri" w:hAnsi="Calibri" w:cs="Calibri"/>
              </w:rPr>
              <w:t>phone</w:t>
            </w:r>
            <w:r w:rsidRPr="00A80870">
              <w:rPr>
                <w:rFonts w:ascii="Calibri" w:eastAsia="Calibri" w:hAnsi="Calibri" w:cs="Calibri"/>
              </w:rPr>
              <w:t xml:space="preserve"> </w:t>
            </w:r>
            <w:r>
              <w:rPr>
                <w:rFonts w:ascii="Calibri" w:eastAsia="Calibri" w:hAnsi="Calibri" w:cs="Calibri"/>
              </w:rPr>
              <w:t>or</w:t>
            </w:r>
            <w:r w:rsidRPr="00A80870">
              <w:rPr>
                <w:rFonts w:ascii="Calibri" w:eastAsia="Calibri" w:hAnsi="Calibri" w:cs="Calibri"/>
              </w:rPr>
              <w:t xml:space="preserve"> </w:t>
            </w:r>
            <w:r>
              <w:rPr>
                <w:rFonts w:ascii="Calibri" w:eastAsia="Calibri" w:hAnsi="Calibri" w:cs="Calibri"/>
              </w:rPr>
              <w:t>in</w:t>
            </w:r>
            <w:r w:rsidRPr="00A80870">
              <w:rPr>
                <w:rFonts w:ascii="Calibri" w:eastAsia="Calibri" w:hAnsi="Calibri" w:cs="Calibri"/>
              </w:rPr>
              <w:t xml:space="preserve"> </w:t>
            </w:r>
            <w:r>
              <w:rPr>
                <w:rFonts w:ascii="Calibri" w:eastAsia="Calibri" w:hAnsi="Calibri" w:cs="Calibri"/>
              </w:rPr>
              <w:t>person)</w:t>
            </w:r>
            <w:r w:rsidRPr="00A80870">
              <w:rPr>
                <w:rFonts w:ascii="Calibri" w:eastAsia="Calibri" w:hAnsi="Calibri" w:cs="Calibri"/>
              </w:rPr>
              <w:t xml:space="preserve"> </w:t>
            </w:r>
            <w:r>
              <w:rPr>
                <w:rFonts w:ascii="Calibri" w:eastAsia="Calibri" w:hAnsi="Calibri" w:cs="Calibri"/>
              </w:rPr>
              <w:t>that</w:t>
            </w:r>
            <w:r w:rsidRPr="00A80870">
              <w:rPr>
                <w:rFonts w:ascii="Calibri" w:eastAsia="Calibri" w:hAnsi="Calibri" w:cs="Calibri"/>
              </w:rPr>
              <w:t xml:space="preserve"> </w:t>
            </w:r>
            <w:r>
              <w:rPr>
                <w:rFonts w:ascii="Calibri" w:eastAsia="Calibri" w:hAnsi="Calibri" w:cs="Calibri"/>
              </w:rPr>
              <w:t>the</w:t>
            </w:r>
            <w:r w:rsidRPr="00A80870">
              <w:rPr>
                <w:rFonts w:ascii="Calibri" w:eastAsia="Calibri" w:hAnsi="Calibri" w:cs="Calibri"/>
              </w:rPr>
              <w:t xml:space="preserve"> </w:t>
            </w:r>
            <w:r>
              <w:rPr>
                <w:rFonts w:ascii="Calibri" w:eastAsia="Calibri" w:hAnsi="Calibri" w:cs="Calibri"/>
              </w:rPr>
              <w:t>investigation</w:t>
            </w:r>
            <w:r w:rsidRPr="00A80870">
              <w:rPr>
                <w:rFonts w:ascii="Calibri" w:eastAsia="Calibri" w:hAnsi="Calibri" w:cs="Calibri"/>
              </w:rPr>
              <w:t xml:space="preserve"> </w:t>
            </w:r>
            <w:r>
              <w:rPr>
                <w:rFonts w:ascii="Calibri" w:eastAsia="Calibri" w:hAnsi="Calibri" w:cs="Calibri"/>
              </w:rPr>
              <w:t>has</w:t>
            </w:r>
            <w:r w:rsidRPr="00A80870">
              <w:rPr>
                <w:rFonts w:ascii="Calibri" w:eastAsia="Calibri" w:hAnsi="Calibri" w:cs="Calibri"/>
              </w:rPr>
              <w:t xml:space="preserve"> </w:t>
            </w:r>
            <w:r>
              <w:rPr>
                <w:rFonts w:ascii="Calibri" w:eastAsia="Calibri" w:hAnsi="Calibri" w:cs="Calibri"/>
              </w:rPr>
              <w:t>concluded</w:t>
            </w:r>
            <w:r w:rsidRPr="00A80870">
              <w:rPr>
                <w:rFonts w:ascii="Calibri" w:eastAsia="Calibri" w:hAnsi="Calibri" w:cs="Calibri"/>
              </w:rPr>
              <w:t xml:space="preserve"> </w:t>
            </w:r>
            <w:r>
              <w:rPr>
                <w:rFonts w:ascii="Calibri" w:eastAsia="Calibri" w:hAnsi="Calibri" w:cs="Calibri"/>
              </w:rPr>
              <w:t>and</w:t>
            </w:r>
            <w:r w:rsidRPr="00A80870">
              <w:rPr>
                <w:rFonts w:ascii="Calibri" w:eastAsia="Calibri" w:hAnsi="Calibri" w:cs="Calibri"/>
              </w:rPr>
              <w:t xml:space="preserve"> </w:t>
            </w:r>
            <w:r>
              <w:rPr>
                <w:rFonts w:ascii="Calibri" w:eastAsia="Calibri" w:hAnsi="Calibri" w:cs="Calibri"/>
              </w:rPr>
              <w:t>that they</w:t>
            </w:r>
            <w:r w:rsidRPr="00A80870">
              <w:rPr>
                <w:rFonts w:ascii="Calibri" w:eastAsia="Calibri" w:hAnsi="Calibri" w:cs="Calibri"/>
              </w:rPr>
              <w:t xml:space="preserve"> </w:t>
            </w:r>
            <w:r>
              <w:rPr>
                <w:rFonts w:ascii="Calibri" w:eastAsia="Calibri" w:hAnsi="Calibri" w:cs="Calibri"/>
              </w:rPr>
              <w:t>will</w:t>
            </w:r>
            <w:r w:rsidRPr="00A80870">
              <w:rPr>
                <w:rFonts w:ascii="Calibri" w:eastAsia="Calibri" w:hAnsi="Calibri" w:cs="Calibri"/>
              </w:rPr>
              <w:t xml:space="preserve"> </w:t>
            </w:r>
            <w:r>
              <w:rPr>
                <w:rFonts w:ascii="Calibri" w:eastAsia="Calibri" w:hAnsi="Calibri" w:cs="Calibri"/>
              </w:rPr>
              <w:t>be</w:t>
            </w:r>
            <w:r w:rsidRPr="00A80870">
              <w:rPr>
                <w:rFonts w:ascii="Calibri" w:eastAsia="Calibri" w:hAnsi="Calibri" w:cs="Calibri"/>
              </w:rPr>
              <w:t xml:space="preserve"> </w:t>
            </w:r>
            <w:r>
              <w:rPr>
                <w:rFonts w:ascii="Calibri" w:eastAsia="Calibri" w:hAnsi="Calibri" w:cs="Calibri"/>
              </w:rPr>
              <w:t>safe</w:t>
            </w:r>
            <w:r w:rsidRPr="00A80870">
              <w:rPr>
                <w:rFonts w:ascii="Calibri" w:eastAsia="Calibri" w:hAnsi="Calibri" w:cs="Calibri"/>
              </w:rPr>
              <w:t xml:space="preserve"> </w:t>
            </w:r>
            <w:r>
              <w:rPr>
                <w:rFonts w:ascii="Calibri" w:eastAsia="Calibri" w:hAnsi="Calibri" w:cs="Calibri"/>
              </w:rPr>
              <w:t>from</w:t>
            </w:r>
            <w:r w:rsidRPr="00A80870">
              <w:rPr>
                <w:rFonts w:ascii="Calibri" w:eastAsia="Calibri" w:hAnsi="Calibri" w:cs="Calibri"/>
              </w:rPr>
              <w:t xml:space="preserve"> </w:t>
            </w:r>
            <w:r>
              <w:rPr>
                <w:rFonts w:ascii="Calibri" w:eastAsia="Calibri" w:hAnsi="Calibri" w:cs="Calibri"/>
              </w:rPr>
              <w:t>future</w:t>
            </w:r>
            <w:r w:rsidRPr="00A80870">
              <w:rPr>
                <w:rFonts w:ascii="Calibri" w:eastAsia="Calibri" w:hAnsi="Calibri" w:cs="Calibri"/>
              </w:rPr>
              <w:t xml:space="preserve"> </w:t>
            </w:r>
            <w:r>
              <w:rPr>
                <w:rFonts w:ascii="Calibri" w:eastAsia="Calibri" w:hAnsi="Calibri" w:cs="Calibri"/>
              </w:rPr>
              <w:t>interactions</w:t>
            </w:r>
            <w:r w:rsidRPr="00A80870">
              <w:rPr>
                <w:rFonts w:ascii="Calibri" w:eastAsia="Calibri" w:hAnsi="Calibri" w:cs="Calibri"/>
              </w:rPr>
              <w:t xml:space="preserve"> </w:t>
            </w:r>
            <w:r>
              <w:rPr>
                <w:rFonts w:ascii="Calibri" w:eastAsia="Calibri" w:hAnsi="Calibri" w:cs="Calibri"/>
              </w:rPr>
              <w:t>and</w:t>
            </w:r>
            <w:r w:rsidRPr="00A80870">
              <w:rPr>
                <w:rFonts w:ascii="Calibri" w:eastAsia="Calibri" w:hAnsi="Calibri" w:cs="Calibri"/>
              </w:rPr>
              <w:t xml:space="preserve"> </w:t>
            </w:r>
            <w:r>
              <w:rPr>
                <w:rFonts w:ascii="Calibri" w:eastAsia="Calibri" w:hAnsi="Calibri" w:cs="Calibri"/>
              </w:rPr>
              <w:t>safe</w:t>
            </w:r>
            <w:r w:rsidRPr="00A80870">
              <w:rPr>
                <w:rFonts w:ascii="Calibri" w:eastAsia="Calibri" w:hAnsi="Calibri" w:cs="Calibri"/>
              </w:rPr>
              <w:t xml:space="preserve"> </w:t>
            </w:r>
            <w:r>
              <w:rPr>
                <w:rFonts w:ascii="Calibri" w:eastAsia="Calibri" w:hAnsi="Calibri" w:cs="Calibri"/>
              </w:rPr>
              <w:t>in</w:t>
            </w:r>
            <w:r w:rsidRPr="00A80870">
              <w:rPr>
                <w:rFonts w:ascii="Calibri" w:eastAsia="Calibri" w:hAnsi="Calibri" w:cs="Calibri"/>
              </w:rPr>
              <w:t xml:space="preserve"> </w:t>
            </w:r>
            <w:r>
              <w:rPr>
                <w:rFonts w:ascii="Calibri" w:eastAsia="Calibri" w:hAnsi="Calibri" w:cs="Calibri"/>
              </w:rPr>
              <w:t>the learning</w:t>
            </w:r>
            <w:r w:rsidRPr="00A80870">
              <w:rPr>
                <w:rFonts w:ascii="Calibri" w:eastAsia="Calibri" w:hAnsi="Calibri" w:cs="Calibri"/>
              </w:rPr>
              <w:t xml:space="preserve"> </w:t>
            </w:r>
            <w:r>
              <w:rPr>
                <w:rFonts w:ascii="Calibri" w:eastAsia="Calibri" w:hAnsi="Calibri" w:cs="Calibri"/>
              </w:rPr>
              <w:t>environment.</w:t>
            </w:r>
          </w:p>
          <w:p w:rsidR="000A1541" w:rsidRDefault="000A1541" w:rsidP="00327294">
            <w:pPr>
              <w:rPr>
                <w:rFonts w:ascii="Calibri" w:eastAsia="Calibri" w:hAnsi="Calibri" w:cs="Calibri"/>
              </w:rPr>
            </w:pPr>
          </w:p>
          <w:p w:rsidR="00A80870" w:rsidRDefault="000A1541" w:rsidP="000A1541">
            <w:r>
              <w:t>Note: Although the complainant can share thoughts and concerns relative to the accused, please know any discussions regarding disciplinary or personnel actions to be considered will remain confidential and coordinated with the appropriate VP, department and/or program manager/chair.  Additionally, when/if disciplinary or personnel action is necessary decisions are weighted against prior precedent and factors deemed appropriate under the Code of Conduct and/or employee and District policy.</w:t>
            </w:r>
            <w:r w:rsidR="004A5C65">
              <w:t xml:space="preserve"> </w:t>
            </w:r>
          </w:p>
          <w:p w:rsidR="004F26F1" w:rsidRPr="00A80870" w:rsidRDefault="004F26F1" w:rsidP="000A1541">
            <w:pPr>
              <w:rPr>
                <w:rFonts w:ascii="Calibri" w:eastAsia="Calibri" w:hAnsi="Calibri" w:cs="Calibri"/>
              </w:rPr>
            </w:pPr>
          </w:p>
        </w:tc>
      </w:tr>
    </w:tbl>
    <w:p w:rsidR="004079D6" w:rsidRDefault="008E4844"/>
    <w:p w:rsidR="00663F99" w:rsidRDefault="00663F99" w:rsidP="00D008F8">
      <w:pPr>
        <w:rPr>
          <w:b/>
          <w:sz w:val="28"/>
          <w:szCs w:val="28"/>
        </w:rPr>
      </w:pPr>
    </w:p>
    <w:p w:rsidR="00663F99" w:rsidRDefault="00663F99" w:rsidP="00D008F8">
      <w:pPr>
        <w:rPr>
          <w:b/>
          <w:sz w:val="28"/>
          <w:szCs w:val="28"/>
        </w:rPr>
      </w:pPr>
    </w:p>
    <w:p w:rsidR="00D008F8" w:rsidRPr="00D008F8" w:rsidRDefault="00D008F8" w:rsidP="00D008F8">
      <w:r w:rsidRPr="00CD362C">
        <w:rPr>
          <w:b/>
          <w:sz w:val="28"/>
          <w:szCs w:val="28"/>
        </w:rPr>
        <w:lastRenderedPageBreak/>
        <w:t>Age Discrimination Act of 1975</w:t>
      </w:r>
      <w:r>
        <w:t xml:space="preserve"> </w:t>
      </w:r>
      <w:hyperlink r:id="rId17" w:history="1">
        <w:r w:rsidRPr="00C76DF0">
          <w:rPr>
            <w:rStyle w:val="Hyperlink"/>
          </w:rPr>
          <w:t>42 U.S.C. §§ 6101-6107</w:t>
        </w:r>
      </w:hyperlink>
      <w:r>
        <w:t xml:space="preserve"> </w:t>
      </w:r>
      <w:r w:rsidRPr="00D008F8">
        <w:t>Prohibits discrimination based on age in educational or academic programs or activities that receive federal financial assistance.</w:t>
      </w:r>
    </w:p>
    <w:p w:rsidR="00D008F8" w:rsidRDefault="00D008F8" w:rsidP="00D008F8">
      <w:r w:rsidRPr="00CD362C">
        <w:rPr>
          <w:b/>
          <w:sz w:val="28"/>
          <w:szCs w:val="28"/>
        </w:rPr>
        <w:t>Americans with Disabilities Act</w:t>
      </w:r>
      <w:r>
        <w:t xml:space="preserve"> </w:t>
      </w:r>
      <w:hyperlink r:id="rId18" w:history="1">
        <w:r>
          <w:rPr>
            <w:rStyle w:val="Hyperlink"/>
          </w:rPr>
          <w:t>42 U.S.C. §§ 12101-12213</w:t>
        </w:r>
      </w:hyperlink>
      <w:r>
        <w:t xml:space="preserve"> </w:t>
      </w:r>
      <w:r w:rsidRPr="00D008F8">
        <w:t>Provides broad nondiscrimination protection in employment, public services, and public accommodations (including colleges and universities) for individuals with disabilities. Requires reasonable accommodations (e.g., a modification or adjustment to the status quo inherent in the program or activity) to allow a qualified person with a disability to participate fully in the educational or academic programs and activities of the university.</w:t>
      </w:r>
    </w:p>
    <w:p w:rsidR="00D008F8" w:rsidRDefault="00D008F8" w:rsidP="00D008F8">
      <w:r w:rsidRPr="00CD362C">
        <w:rPr>
          <w:b/>
          <w:sz w:val="28"/>
          <w:szCs w:val="28"/>
        </w:rPr>
        <w:t>Section 504 of The Rehabilitation Act of 1973</w:t>
      </w:r>
      <w:r>
        <w:t xml:space="preserve"> </w:t>
      </w:r>
      <w:hyperlink r:id="rId19" w:history="1">
        <w:r>
          <w:rPr>
            <w:rStyle w:val="Hyperlink"/>
          </w:rPr>
          <w:t>29 U.S.C. § 701</w:t>
        </w:r>
      </w:hyperlink>
      <w:r>
        <w:t xml:space="preserve"> Prohibits discrimination on the basis of disability at any federally-funded institution. This covers admissions, recruitment, educational and/or academic programs and services</w:t>
      </w:r>
    </w:p>
    <w:p w:rsidR="0055740A" w:rsidRDefault="0055740A">
      <w:r w:rsidRPr="00CD362C">
        <w:rPr>
          <w:b/>
          <w:sz w:val="28"/>
          <w:szCs w:val="28"/>
        </w:rPr>
        <w:t>Campus Sex Crimes Prevention Act</w:t>
      </w:r>
      <w:r>
        <w:t xml:space="preserve"> (§ 1601 of the Victims of Trafficking and Violence Protection Act of 2000) </w:t>
      </w:r>
      <w:r>
        <w:br/>
      </w:r>
      <w:hyperlink r:id="rId20" w:history="1">
        <w:r>
          <w:rPr>
            <w:rStyle w:val="Hyperlink"/>
          </w:rPr>
          <w:t>Public Law No. 106-386 (Title VI)</w:t>
        </w:r>
      </w:hyperlink>
      <w:r>
        <w:t xml:space="preserve">  The Campus Sex Crimes Prevention Act requires sex offenders, who must register under state law, to provide notice of enrollment or employment at any institution of higher education (IHE) in that state where the offender resides, as well as notice of each change of enrollment or employment status at the IHE. In turn, this information will be made available by the state authorities to the local law enforcement agency that has jurisdiction where the IHE is located.</w:t>
      </w:r>
    </w:p>
    <w:p w:rsidR="00D008F8" w:rsidRDefault="00D008F8">
      <w:r w:rsidRPr="00CD362C">
        <w:rPr>
          <w:b/>
          <w:sz w:val="28"/>
          <w:szCs w:val="28"/>
        </w:rPr>
        <w:t>Clery Act</w:t>
      </w:r>
      <w:r>
        <w:t xml:space="preserve"> </w:t>
      </w:r>
      <w:hyperlink r:id="rId21" w:history="1">
        <w:r>
          <w:rPr>
            <w:rStyle w:val="Hyperlink"/>
          </w:rPr>
          <w:t>20 U.S.C. § 1092(f)</w:t>
        </w:r>
      </w:hyperlink>
      <w:r>
        <w:t xml:space="preserve"> As an institution receiving federal financial aid, the University must keep information about crime on and near its respective campuses and provide an annual report (including crime statistics, security measures and policies, and where crimes should be reported) to all students, employees, and the Department of Education.</w:t>
      </w:r>
    </w:p>
    <w:p w:rsidR="00D008F8" w:rsidRDefault="00D008F8">
      <w:r w:rsidRPr="00CD362C">
        <w:rPr>
          <w:b/>
          <w:sz w:val="28"/>
          <w:szCs w:val="28"/>
        </w:rPr>
        <w:t>FERPA</w:t>
      </w:r>
      <w:r>
        <w:t xml:space="preserve"> </w:t>
      </w:r>
      <w:hyperlink r:id="rId22" w:history="1">
        <w:r>
          <w:rPr>
            <w:rStyle w:val="Hyperlink"/>
          </w:rPr>
          <w:t>20 U.S.C. § 1232g</w:t>
        </w:r>
      </w:hyperlink>
      <w:r>
        <w:t xml:space="preserve"> The University must provide students the right to inspect their education records and obtain written consent to release the records to anyone other than school officials, authorized government personnel, in connection with financial aid, in an emergency, or for other specifically-allowed purposes.</w:t>
      </w:r>
    </w:p>
    <w:p w:rsidR="00C8761E" w:rsidRPr="00CD362C" w:rsidRDefault="00C8761E">
      <w:pPr>
        <w:rPr>
          <w:b/>
          <w:sz w:val="28"/>
          <w:szCs w:val="28"/>
        </w:rPr>
      </w:pPr>
      <w:r w:rsidRPr="00CD362C">
        <w:rPr>
          <w:b/>
          <w:sz w:val="28"/>
          <w:szCs w:val="28"/>
        </w:rPr>
        <w:t>MCCCD</w:t>
      </w:r>
    </w:p>
    <w:p w:rsidR="00C8761E" w:rsidRDefault="008E4844" w:rsidP="003D4C27">
      <w:pPr>
        <w:pStyle w:val="ListParagraph"/>
        <w:numPr>
          <w:ilvl w:val="0"/>
          <w:numId w:val="7"/>
        </w:numPr>
      </w:pPr>
      <w:hyperlink r:id="rId23" w:history="1">
        <w:r w:rsidR="00C8761E" w:rsidRPr="00CC3AB9">
          <w:rPr>
            <w:rStyle w:val="Hyperlink"/>
          </w:rPr>
          <w:t>Residential Faculty Policy Manual</w:t>
        </w:r>
      </w:hyperlink>
    </w:p>
    <w:p w:rsidR="00CC3AB9" w:rsidRDefault="008E4844" w:rsidP="003D4C27">
      <w:pPr>
        <w:pStyle w:val="ListParagraph"/>
        <w:numPr>
          <w:ilvl w:val="0"/>
          <w:numId w:val="7"/>
        </w:numPr>
      </w:pPr>
      <w:hyperlink r:id="rId24" w:history="1">
        <w:r w:rsidR="00CC3AB9" w:rsidRPr="00CC3AB9">
          <w:rPr>
            <w:rStyle w:val="Hyperlink"/>
          </w:rPr>
          <w:t>Staff Policy Manual</w:t>
        </w:r>
      </w:hyperlink>
    </w:p>
    <w:p w:rsidR="00BF5FF6" w:rsidRDefault="00843152" w:rsidP="00BF5FF6">
      <w:r w:rsidRPr="00CD362C">
        <w:rPr>
          <w:b/>
          <w:sz w:val="28"/>
          <w:szCs w:val="28"/>
        </w:rPr>
        <w:t>NJCAA</w:t>
      </w:r>
      <w:r>
        <w:t xml:space="preserve"> </w:t>
      </w:r>
      <w:hyperlink r:id="rId25" w:history="1">
        <w:r w:rsidR="00BF5FF6" w:rsidRPr="00843152">
          <w:rPr>
            <w:rStyle w:val="Hyperlink"/>
            <w:bCs/>
          </w:rPr>
          <w:t>National Junior College Athletic Association</w:t>
        </w:r>
      </w:hyperlink>
      <w:r>
        <w:t xml:space="preserve"> f</w:t>
      </w:r>
      <w:r w:rsidR="00BF5FF6" w:rsidRPr="00BF5FF6">
        <w:t>ounded</w:t>
      </w:r>
      <w:r w:rsidR="00BF5FF6">
        <w:t xml:space="preserve"> in 1938, is an association of </w:t>
      </w:r>
      <w:r w:rsidR="00BF5FF6" w:rsidRPr="00843152">
        <w:t>community college</w:t>
      </w:r>
      <w:r w:rsidR="00BF5FF6">
        <w:t xml:space="preserve"> and </w:t>
      </w:r>
      <w:r w:rsidR="00BF5FF6" w:rsidRPr="00843152">
        <w:t>junior college</w:t>
      </w:r>
      <w:r w:rsidR="00BF5FF6">
        <w:t xml:space="preserve"> athletic departments throughout the United States. It is divided into divisions and regions. The current NJCAA holds 24 separate regions.</w:t>
      </w:r>
    </w:p>
    <w:p w:rsidR="00C16A03" w:rsidRDefault="00C16A03" w:rsidP="00C16A03">
      <w:r w:rsidRPr="00C16A03">
        <w:rPr>
          <w:b/>
          <w:sz w:val="28"/>
          <w:szCs w:val="28"/>
        </w:rPr>
        <w:t xml:space="preserve">Title VI, Civil Rights Act of 1964 </w:t>
      </w:r>
      <w:hyperlink r:id="rId26" w:history="1">
        <w:r w:rsidR="00CC3AB9">
          <w:rPr>
            <w:rStyle w:val="Hyperlink"/>
            <w:rFonts w:ascii="Calibri" w:hAnsi="Calibri"/>
            <w:color w:val="1155CC"/>
            <w:shd w:val="clear" w:color="auto" w:fill="FFFFFF"/>
          </w:rPr>
          <w:t>42 U.S.C. § 2000d et seq.</w:t>
        </w:r>
      </w:hyperlink>
      <w:r w:rsidR="00CC3AB9">
        <w:t xml:space="preserve"> </w:t>
      </w:r>
      <w:r>
        <w:t>No person in the United States shall, on the ground of race, color, or national origin, be excluded from participation in, be denied the benefits of, or be subjected to discrimination under any program or activity receiving Federal financial assistance.</w:t>
      </w:r>
    </w:p>
    <w:p w:rsidR="00632CE9" w:rsidRDefault="00632CE9" w:rsidP="00632CE9">
      <w:r w:rsidRPr="00CD362C">
        <w:rPr>
          <w:b/>
          <w:sz w:val="28"/>
          <w:szCs w:val="28"/>
        </w:rPr>
        <w:t>Title IX of the Education Amendment of 1972</w:t>
      </w:r>
      <w:r>
        <w:t xml:space="preserve"> </w:t>
      </w:r>
      <w:hyperlink r:id="rId27" w:history="1">
        <w:r>
          <w:rPr>
            <w:rStyle w:val="Hyperlink"/>
          </w:rPr>
          <w:t>20 U.S.C. §§ 1681-1688</w:t>
        </w:r>
      </w:hyperlink>
      <w:r>
        <w:t xml:space="preserve"> Prohibits discrimination on the basis of sex in education programs or activities receiving federal financial assistance including employment. </w:t>
      </w:r>
    </w:p>
    <w:p w:rsidR="00DA47C6" w:rsidRDefault="00DA47C6">
      <w:r>
        <w:br w:type="page"/>
      </w:r>
    </w:p>
    <w:p w:rsidR="00D008F8" w:rsidRDefault="00D008F8"/>
    <w:p w:rsidR="00E3518E" w:rsidRPr="00F01BCB" w:rsidRDefault="00E3518E" w:rsidP="00E3518E">
      <w:pPr>
        <w:spacing w:after="0" w:line="240" w:lineRule="auto"/>
        <w:jc w:val="center"/>
        <w:rPr>
          <w:sz w:val="36"/>
          <w:szCs w:val="36"/>
        </w:rPr>
      </w:pPr>
      <w:r w:rsidRPr="00F01BCB">
        <w:rPr>
          <w:sz w:val="36"/>
          <w:szCs w:val="36"/>
        </w:rPr>
        <w:t>Interview Template/Complaint Log</w:t>
      </w:r>
    </w:p>
    <w:p w:rsidR="00E3518E" w:rsidRDefault="00E3518E" w:rsidP="00E3518E"/>
    <w:tbl>
      <w:tblPr>
        <w:tblStyle w:val="TableGrid"/>
        <w:tblW w:w="14310" w:type="dxa"/>
        <w:tblInd w:w="-725" w:type="dxa"/>
        <w:tblLook w:val="04A0" w:firstRow="1" w:lastRow="0" w:firstColumn="1" w:lastColumn="0" w:noHBand="0" w:noVBand="1"/>
      </w:tblPr>
      <w:tblGrid>
        <w:gridCol w:w="1160"/>
        <w:gridCol w:w="2800"/>
        <w:gridCol w:w="2430"/>
        <w:gridCol w:w="2430"/>
        <w:gridCol w:w="1890"/>
        <w:gridCol w:w="3600"/>
      </w:tblGrid>
      <w:tr w:rsidR="00E3518E" w:rsidTr="009350D4">
        <w:trPr>
          <w:trHeight w:val="555"/>
        </w:trPr>
        <w:tc>
          <w:tcPr>
            <w:tcW w:w="8820" w:type="dxa"/>
            <w:gridSpan w:val="4"/>
            <w:vAlign w:val="center"/>
          </w:tcPr>
          <w:p w:rsidR="00E3518E" w:rsidRPr="00F01BCB" w:rsidRDefault="00E3518E" w:rsidP="009350D4">
            <w:pPr>
              <w:rPr>
                <w:sz w:val="28"/>
                <w:szCs w:val="28"/>
              </w:rPr>
            </w:pPr>
            <w:r>
              <w:rPr>
                <w:sz w:val="28"/>
                <w:szCs w:val="28"/>
              </w:rPr>
              <w:t xml:space="preserve">Stakeholder Name: </w:t>
            </w:r>
            <w:r w:rsidRPr="006B060C">
              <w:rPr>
                <w:noProof/>
                <w:sz w:val="20"/>
                <w:szCs w:val="20"/>
              </w:rPr>
              <w:fldChar w:fldCharType="begin">
                <w:ffData>
                  <w:name w:val="Text1"/>
                  <w:enabled/>
                  <w:calcOnExit w:val="0"/>
                  <w:textInput/>
                </w:ffData>
              </w:fldChar>
            </w:r>
            <w:r w:rsidRPr="006B060C">
              <w:rPr>
                <w:noProof/>
                <w:sz w:val="20"/>
                <w:szCs w:val="20"/>
              </w:rPr>
              <w:instrText xml:space="preserve"> FORMTEXT </w:instrText>
            </w:r>
            <w:r w:rsidRPr="006B060C">
              <w:rPr>
                <w:noProof/>
                <w:sz w:val="20"/>
                <w:szCs w:val="20"/>
              </w:rPr>
            </w:r>
            <w:r w:rsidRPr="006B060C">
              <w:rPr>
                <w:noProof/>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sidRPr="006B060C">
              <w:rPr>
                <w:noProof/>
                <w:sz w:val="20"/>
                <w:szCs w:val="20"/>
              </w:rPr>
              <w:fldChar w:fldCharType="end"/>
            </w:r>
            <w:r w:rsidRPr="00923864">
              <w:rPr>
                <w:noProof/>
                <w:sz w:val="28"/>
                <w:szCs w:val="28"/>
                <w:u w:val="single"/>
              </w:rPr>
              <w:fldChar w:fldCharType="begin">
                <w:ffData>
                  <w:name w:val=""/>
                  <w:enabled/>
                  <w:calcOnExit w:val="0"/>
                  <w:textInput/>
                </w:ffData>
              </w:fldChar>
            </w:r>
            <w:r w:rsidRPr="00923864">
              <w:rPr>
                <w:noProof/>
                <w:sz w:val="28"/>
                <w:szCs w:val="28"/>
                <w:u w:val="single"/>
              </w:rPr>
              <w:instrText xml:space="preserve"> FORMTEXT </w:instrText>
            </w:r>
            <w:r w:rsidR="008E4844">
              <w:rPr>
                <w:noProof/>
                <w:sz w:val="28"/>
                <w:szCs w:val="28"/>
                <w:u w:val="single"/>
              </w:rPr>
            </w:r>
            <w:r w:rsidR="008E4844">
              <w:rPr>
                <w:noProof/>
                <w:sz w:val="28"/>
                <w:szCs w:val="28"/>
                <w:u w:val="single"/>
              </w:rPr>
              <w:fldChar w:fldCharType="separate"/>
            </w:r>
            <w:r w:rsidRPr="00923864">
              <w:rPr>
                <w:noProof/>
                <w:sz w:val="28"/>
                <w:szCs w:val="28"/>
                <w:u w:val="single"/>
              </w:rPr>
              <w:fldChar w:fldCharType="end"/>
            </w:r>
          </w:p>
        </w:tc>
        <w:tc>
          <w:tcPr>
            <w:tcW w:w="5490" w:type="dxa"/>
            <w:gridSpan w:val="2"/>
            <w:vAlign w:val="center"/>
          </w:tcPr>
          <w:p w:rsidR="00E3518E" w:rsidRPr="00F01BCB" w:rsidRDefault="00E3518E" w:rsidP="009350D4">
            <w:pPr>
              <w:rPr>
                <w:sz w:val="28"/>
                <w:szCs w:val="28"/>
              </w:rPr>
            </w:pPr>
            <w:r w:rsidRPr="00F01BCB">
              <w:rPr>
                <w:sz w:val="28"/>
                <w:szCs w:val="28"/>
              </w:rPr>
              <w:t>Interviewer:</w:t>
            </w:r>
            <w:r>
              <w:rPr>
                <w:sz w:val="28"/>
                <w:szCs w:val="28"/>
              </w:rPr>
              <w:t xml:space="preserve"> </w:t>
            </w:r>
            <w:r w:rsidRPr="006B060C">
              <w:rPr>
                <w:noProof/>
                <w:sz w:val="20"/>
                <w:szCs w:val="20"/>
              </w:rPr>
              <w:fldChar w:fldCharType="begin">
                <w:ffData>
                  <w:name w:val="Text1"/>
                  <w:enabled/>
                  <w:calcOnExit w:val="0"/>
                  <w:textInput/>
                </w:ffData>
              </w:fldChar>
            </w:r>
            <w:r w:rsidRPr="006B060C">
              <w:rPr>
                <w:noProof/>
                <w:sz w:val="20"/>
                <w:szCs w:val="20"/>
              </w:rPr>
              <w:instrText xml:space="preserve"> FORMTEXT </w:instrText>
            </w:r>
            <w:r w:rsidRPr="006B060C">
              <w:rPr>
                <w:noProof/>
                <w:sz w:val="20"/>
                <w:szCs w:val="20"/>
              </w:rPr>
            </w:r>
            <w:r w:rsidRPr="006B060C">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B060C">
              <w:rPr>
                <w:noProof/>
                <w:sz w:val="20"/>
                <w:szCs w:val="20"/>
              </w:rPr>
              <w:fldChar w:fldCharType="end"/>
            </w:r>
          </w:p>
        </w:tc>
      </w:tr>
      <w:tr w:rsidR="00E3518E" w:rsidTr="009350D4">
        <w:trPr>
          <w:trHeight w:val="555"/>
        </w:trPr>
        <w:tc>
          <w:tcPr>
            <w:tcW w:w="1160" w:type="dxa"/>
          </w:tcPr>
          <w:p w:rsidR="00E3518E" w:rsidRPr="004217C8" w:rsidRDefault="00E3518E" w:rsidP="009350D4">
            <w:pPr>
              <w:jc w:val="center"/>
              <w:rPr>
                <w:sz w:val="28"/>
                <w:szCs w:val="28"/>
              </w:rPr>
            </w:pPr>
            <w:r>
              <w:rPr>
                <w:sz w:val="28"/>
                <w:szCs w:val="28"/>
              </w:rPr>
              <w:t>Date</w:t>
            </w:r>
          </w:p>
        </w:tc>
        <w:tc>
          <w:tcPr>
            <w:tcW w:w="2800" w:type="dxa"/>
            <w:vAlign w:val="center"/>
          </w:tcPr>
          <w:p w:rsidR="00E3518E" w:rsidRPr="004217C8" w:rsidRDefault="00E3518E" w:rsidP="009350D4">
            <w:pPr>
              <w:jc w:val="center"/>
              <w:rPr>
                <w:sz w:val="28"/>
                <w:szCs w:val="28"/>
              </w:rPr>
            </w:pPr>
            <w:r w:rsidRPr="004217C8">
              <w:rPr>
                <w:sz w:val="28"/>
                <w:szCs w:val="28"/>
              </w:rPr>
              <w:t xml:space="preserve">Initial Response of Key </w:t>
            </w:r>
            <w:r>
              <w:rPr>
                <w:sz w:val="28"/>
                <w:szCs w:val="28"/>
              </w:rPr>
              <w:t>Stakeholder</w:t>
            </w:r>
          </w:p>
        </w:tc>
        <w:tc>
          <w:tcPr>
            <w:tcW w:w="2430" w:type="dxa"/>
            <w:vAlign w:val="center"/>
          </w:tcPr>
          <w:p w:rsidR="00E3518E" w:rsidRPr="004217C8" w:rsidRDefault="00E3518E" w:rsidP="009350D4">
            <w:pPr>
              <w:jc w:val="center"/>
              <w:rPr>
                <w:sz w:val="28"/>
                <w:szCs w:val="28"/>
              </w:rPr>
            </w:pPr>
            <w:r w:rsidRPr="004217C8">
              <w:rPr>
                <w:sz w:val="28"/>
                <w:szCs w:val="28"/>
              </w:rPr>
              <w:t>Evidence</w:t>
            </w:r>
          </w:p>
        </w:tc>
        <w:tc>
          <w:tcPr>
            <w:tcW w:w="2430" w:type="dxa"/>
            <w:vAlign w:val="center"/>
          </w:tcPr>
          <w:p w:rsidR="00E3518E" w:rsidRPr="004217C8" w:rsidRDefault="00E3518E" w:rsidP="009350D4">
            <w:pPr>
              <w:jc w:val="center"/>
              <w:rPr>
                <w:sz w:val="28"/>
                <w:szCs w:val="28"/>
              </w:rPr>
            </w:pPr>
            <w:r w:rsidRPr="004217C8">
              <w:rPr>
                <w:sz w:val="28"/>
                <w:szCs w:val="28"/>
              </w:rPr>
              <w:t>Recommendations</w:t>
            </w:r>
          </w:p>
        </w:tc>
        <w:tc>
          <w:tcPr>
            <w:tcW w:w="1890" w:type="dxa"/>
          </w:tcPr>
          <w:p w:rsidR="00E3518E" w:rsidRDefault="00E3518E" w:rsidP="009350D4">
            <w:pPr>
              <w:jc w:val="center"/>
              <w:rPr>
                <w:sz w:val="28"/>
                <w:szCs w:val="28"/>
              </w:rPr>
            </w:pPr>
            <w:r>
              <w:rPr>
                <w:sz w:val="28"/>
                <w:szCs w:val="28"/>
              </w:rPr>
              <w:t>Federal Regulation(s)</w:t>
            </w:r>
          </w:p>
        </w:tc>
        <w:tc>
          <w:tcPr>
            <w:tcW w:w="3600" w:type="dxa"/>
            <w:vAlign w:val="center"/>
          </w:tcPr>
          <w:p w:rsidR="00E3518E" w:rsidRPr="004217C8" w:rsidRDefault="00E3518E" w:rsidP="009350D4">
            <w:pPr>
              <w:jc w:val="center"/>
              <w:rPr>
                <w:sz w:val="28"/>
                <w:szCs w:val="28"/>
              </w:rPr>
            </w:pPr>
            <w:r>
              <w:rPr>
                <w:sz w:val="28"/>
                <w:szCs w:val="28"/>
              </w:rPr>
              <w:t>Notes</w:t>
            </w:r>
          </w:p>
        </w:tc>
      </w:tr>
      <w:tr w:rsidR="00E3518E" w:rsidTr="009350D4">
        <w:trPr>
          <w:trHeight w:val="1440"/>
        </w:trPr>
        <w:tc>
          <w:tcPr>
            <w:tcW w:w="1160" w:type="dxa"/>
          </w:tcPr>
          <w:p w:rsidR="00E3518E" w:rsidRPr="006B060C" w:rsidRDefault="00E3518E" w:rsidP="009350D4">
            <w:pPr>
              <w:rPr>
                <w:noProof/>
                <w:sz w:val="20"/>
                <w:szCs w:val="20"/>
              </w:rPr>
            </w:pPr>
            <w:r>
              <w:rPr>
                <w:noProof/>
                <w:sz w:val="20"/>
                <w:szCs w:val="20"/>
              </w:rPr>
              <w:fldChar w:fldCharType="begin">
                <w:ffData>
                  <w:name w:val="Text1"/>
                  <w:enabled/>
                  <w:calcOnExit w:val="0"/>
                  <w:textInput>
                    <w:type w:val="date"/>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2800" w:type="dxa"/>
          </w:tcPr>
          <w:p w:rsidR="00E3518E" w:rsidRPr="006B060C" w:rsidRDefault="00E3518E" w:rsidP="009350D4">
            <w:pPr>
              <w:rPr>
                <w:sz w:val="20"/>
                <w:szCs w:val="20"/>
              </w:rPr>
            </w:pPr>
            <w:r w:rsidRPr="006B060C">
              <w:rPr>
                <w:noProof/>
                <w:sz w:val="20"/>
                <w:szCs w:val="20"/>
              </w:rPr>
              <w:fldChar w:fldCharType="begin">
                <w:ffData>
                  <w:name w:val="Text1"/>
                  <w:enabled/>
                  <w:calcOnExit w:val="0"/>
                  <w:textInput/>
                </w:ffData>
              </w:fldChar>
            </w:r>
            <w:r w:rsidRPr="006B060C">
              <w:rPr>
                <w:noProof/>
                <w:sz w:val="20"/>
                <w:szCs w:val="20"/>
              </w:rPr>
              <w:instrText xml:space="preserve"> FORMTEXT </w:instrText>
            </w:r>
            <w:r w:rsidRPr="006B060C">
              <w:rPr>
                <w:noProof/>
                <w:sz w:val="20"/>
                <w:szCs w:val="20"/>
              </w:rPr>
            </w:r>
            <w:r w:rsidRPr="006B060C">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B060C">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r w:rsidR="00E3518E" w:rsidTr="009350D4">
        <w:trPr>
          <w:trHeight w:val="1440"/>
        </w:trPr>
        <w:tc>
          <w:tcPr>
            <w:tcW w:w="1160" w:type="dxa"/>
          </w:tcPr>
          <w:p w:rsidR="00E3518E" w:rsidRDefault="00E3518E" w:rsidP="009350D4">
            <w:r w:rsidRPr="008045C5">
              <w:rPr>
                <w:noProof/>
                <w:sz w:val="20"/>
                <w:szCs w:val="20"/>
              </w:rPr>
              <w:fldChar w:fldCharType="begin">
                <w:ffData>
                  <w:name w:val="Text1"/>
                  <w:enabled/>
                  <w:calcOnExit w:val="0"/>
                  <w:textInput>
                    <w:type w:val="date"/>
                  </w:textInput>
                </w:ffData>
              </w:fldChar>
            </w:r>
            <w:r w:rsidRPr="008045C5">
              <w:rPr>
                <w:noProof/>
                <w:sz w:val="20"/>
                <w:szCs w:val="20"/>
              </w:rPr>
              <w:instrText xml:space="preserve"> FORMTEXT </w:instrText>
            </w:r>
            <w:r w:rsidRPr="008045C5">
              <w:rPr>
                <w:noProof/>
                <w:sz w:val="20"/>
                <w:szCs w:val="20"/>
              </w:rPr>
            </w:r>
            <w:r w:rsidRPr="008045C5">
              <w:rPr>
                <w:noProof/>
                <w:sz w:val="20"/>
                <w:szCs w:val="20"/>
              </w:rPr>
              <w:fldChar w:fldCharType="separate"/>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fldChar w:fldCharType="end"/>
            </w:r>
          </w:p>
        </w:tc>
        <w:tc>
          <w:tcPr>
            <w:tcW w:w="2800" w:type="dxa"/>
          </w:tcPr>
          <w:p w:rsidR="00E3518E" w:rsidRDefault="00E3518E" w:rsidP="009350D4">
            <w:r w:rsidRPr="009E2E60">
              <w:rPr>
                <w:noProof/>
                <w:sz w:val="20"/>
                <w:szCs w:val="20"/>
              </w:rPr>
              <w:fldChar w:fldCharType="begin">
                <w:ffData>
                  <w:name w:val="Text1"/>
                  <w:enabled/>
                  <w:calcOnExit w:val="0"/>
                  <w:textInput/>
                </w:ffData>
              </w:fldChar>
            </w:r>
            <w:r w:rsidRPr="009E2E60">
              <w:rPr>
                <w:noProof/>
                <w:sz w:val="20"/>
                <w:szCs w:val="20"/>
              </w:rPr>
              <w:instrText xml:space="preserve"> FORMTEXT </w:instrText>
            </w:r>
            <w:r w:rsidRPr="009E2E60">
              <w:rPr>
                <w:noProof/>
                <w:sz w:val="20"/>
                <w:szCs w:val="20"/>
              </w:rPr>
            </w:r>
            <w:r w:rsidRPr="009E2E60">
              <w:rPr>
                <w:noProof/>
                <w:sz w:val="20"/>
                <w:szCs w:val="20"/>
              </w:rPr>
              <w:fldChar w:fldCharType="separate"/>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r w:rsidR="00E3518E" w:rsidTr="009350D4">
        <w:trPr>
          <w:trHeight w:val="1440"/>
        </w:trPr>
        <w:tc>
          <w:tcPr>
            <w:tcW w:w="1160" w:type="dxa"/>
          </w:tcPr>
          <w:p w:rsidR="00E3518E" w:rsidRDefault="00E3518E" w:rsidP="009350D4">
            <w:r w:rsidRPr="008045C5">
              <w:rPr>
                <w:noProof/>
                <w:sz w:val="20"/>
                <w:szCs w:val="20"/>
              </w:rPr>
              <w:fldChar w:fldCharType="begin">
                <w:ffData>
                  <w:name w:val="Text1"/>
                  <w:enabled/>
                  <w:calcOnExit w:val="0"/>
                  <w:textInput>
                    <w:type w:val="date"/>
                  </w:textInput>
                </w:ffData>
              </w:fldChar>
            </w:r>
            <w:r w:rsidRPr="008045C5">
              <w:rPr>
                <w:noProof/>
                <w:sz w:val="20"/>
                <w:szCs w:val="20"/>
              </w:rPr>
              <w:instrText xml:space="preserve"> FORMTEXT </w:instrText>
            </w:r>
            <w:r w:rsidRPr="008045C5">
              <w:rPr>
                <w:noProof/>
                <w:sz w:val="20"/>
                <w:szCs w:val="20"/>
              </w:rPr>
            </w:r>
            <w:r w:rsidRPr="008045C5">
              <w:rPr>
                <w:noProof/>
                <w:sz w:val="20"/>
                <w:szCs w:val="20"/>
              </w:rPr>
              <w:fldChar w:fldCharType="separate"/>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fldChar w:fldCharType="end"/>
            </w:r>
          </w:p>
        </w:tc>
        <w:tc>
          <w:tcPr>
            <w:tcW w:w="2800" w:type="dxa"/>
          </w:tcPr>
          <w:p w:rsidR="00E3518E" w:rsidRDefault="00E3518E" w:rsidP="009350D4">
            <w:r w:rsidRPr="009E2E60">
              <w:rPr>
                <w:noProof/>
                <w:sz w:val="20"/>
                <w:szCs w:val="20"/>
              </w:rPr>
              <w:fldChar w:fldCharType="begin">
                <w:ffData>
                  <w:name w:val="Text1"/>
                  <w:enabled/>
                  <w:calcOnExit w:val="0"/>
                  <w:textInput/>
                </w:ffData>
              </w:fldChar>
            </w:r>
            <w:r w:rsidRPr="009E2E60">
              <w:rPr>
                <w:noProof/>
                <w:sz w:val="20"/>
                <w:szCs w:val="20"/>
              </w:rPr>
              <w:instrText xml:space="preserve"> FORMTEXT </w:instrText>
            </w:r>
            <w:r w:rsidRPr="009E2E60">
              <w:rPr>
                <w:noProof/>
                <w:sz w:val="20"/>
                <w:szCs w:val="20"/>
              </w:rPr>
            </w:r>
            <w:r w:rsidRPr="009E2E60">
              <w:rPr>
                <w:noProof/>
                <w:sz w:val="20"/>
                <w:szCs w:val="20"/>
              </w:rPr>
              <w:fldChar w:fldCharType="separate"/>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r w:rsidR="00E3518E" w:rsidTr="009350D4">
        <w:trPr>
          <w:trHeight w:val="1440"/>
        </w:trPr>
        <w:tc>
          <w:tcPr>
            <w:tcW w:w="1160" w:type="dxa"/>
          </w:tcPr>
          <w:p w:rsidR="00E3518E" w:rsidRDefault="00E3518E" w:rsidP="009350D4">
            <w:r w:rsidRPr="008045C5">
              <w:rPr>
                <w:noProof/>
                <w:sz w:val="20"/>
                <w:szCs w:val="20"/>
              </w:rPr>
              <w:fldChar w:fldCharType="begin">
                <w:ffData>
                  <w:name w:val="Text1"/>
                  <w:enabled/>
                  <w:calcOnExit w:val="0"/>
                  <w:textInput>
                    <w:type w:val="date"/>
                  </w:textInput>
                </w:ffData>
              </w:fldChar>
            </w:r>
            <w:r w:rsidRPr="008045C5">
              <w:rPr>
                <w:noProof/>
                <w:sz w:val="20"/>
                <w:szCs w:val="20"/>
              </w:rPr>
              <w:instrText xml:space="preserve"> FORMTEXT </w:instrText>
            </w:r>
            <w:r w:rsidRPr="008045C5">
              <w:rPr>
                <w:noProof/>
                <w:sz w:val="20"/>
                <w:szCs w:val="20"/>
              </w:rPr>
            </w:r>
            <w:r w:rsidRPr="008045C5">
              <w:rPr>
                <w:noProof/>
                <w:sz w:val="20"/>
                <w:szCs w:val="20"/>
              </w:rPr>
              <w:fldChar w:fldCharType="separate"/>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fldChar w:fldCharType="end"/>
            </w:r>
          </w:p>
        </w:tc>
        <w:tc>
          <w:tcPr>
            <w:tcW w:w="2800" w:type="dxa"/>
          </w:tcPr>
          <w:p w:rsidR="00E3518E" w:rsidRDefault="00E3518E" w:rsidP="009350D4">
            <w:r w:rsidRPr="009E2E60">
              <w:rPr>
                <w:noProof/>
                <w:sz w:val="20"/>
                <w:szCs w:val="20"/>
              </w:rPr>
              <w:fldChar w:fldCharType="begin">
                <w:ffData>
                  <w:name w:val="Text1"/>
                  <w:enabled/>
                  <w:calcOnExit w:val="0"/>
                  <w:textInput/>
                </w:ffData>
              </w:fldChar>
            </w:r>
            <w:r w:rsidRPr="009E2E60">
              <w:rPr>
                <w:noProof/>
                <w:sz w:val="20"/>
                <w:szCs w:val="20"/>
              </w:rPr>
              <w:instrText xml:space="preserve"> FORMTEXT </w:instrText>
            </w:r>
            <w:r w:rsidRPr="009E2E60">
              <w:rPr>
                <w:noProof/>
                <w:sz w:val="20"/>
                <w:szCs w:val="20"/>
              </w:rPr>
            </w:r>
            <w:r w:rsidRPr="009E2E60">
              <w:rPr>
                <w:noProof/>
                <w:sz w:val="20"/>
                <w:szCs w:val="20"/>
              </w:rPr>
              <w:fldChar w:fldCharType="separate"/>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r w:rsidR="00E3518E" w:rsidTr="009350D4">
        <w:trPr>
          <w:trHeight w:val="1440"/>
        </w:trPr>
        <w:tc>
          <w:tcPr>
            <w:tcW w:w="1160" w:type="dxa"/>
          </w:tcPr>
          <w:p w:rsidR="00E3518E" w:rsidRDefault="00E3518E" w:rsidP="009350D4">
            <w:r w:rsidRPr="008045C5">
              <w:rPr>
                <w:noProof/>
                <w:sz w:val="20"/>
                <w:szCs w:val="20"/>
              </w:rPr>
              <w:fldChar w:fldCharType="begin">
                <w:ffData>
                  <w:name w:val="Text1"/>
                  <w:enabled/>
                  <w:calcOnExit w:val="0"/>
                  <w:textInput>
                    <w:type w:val="date"/>
                  </w:textInput>
                </w:ffData>
              </w:fldChar>
            </w:r>
            <w:r w:rsidRPr="008045C5">
              <w:rPr>
                <w:noProof/>
                <w:sz w:val="20"/>
                <w:szCs w:val="20"/>
              </w:rPr>
              <w:instrText xml:space="preserve"> FORMTEXT </w:instrText>
            </w:r>
            <w:r w:rsidRPr="008045C5">
              <w:rPr>
                <w:noProof/>
                <w:sz w:val="20"/>
                <w:szCs w:val="20"/>
              </w:rPr>
            </w:r>
            <w:r w:rsidRPr="008045C5">
              <w:rPr>
                <w:noProof/>
                <w:sz w:val="20"/>
                <w:szCs w:val="20"/>
              </w:rPr>
              <w:fldChar w:fldCharType="separate"/>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fldChar w:fldCharType="end"/>
            </w:r>
          </w:p>
        </w:tc>
        <w:tc>
          <w:tcPr>
            <w:tcW w:w="2800" w:type="dxa"/>
          </w:tcPr>
          <w:p w:rsidR="00E3518E" w:rsidRDefault="00E3518E" w:rsidP="009350D4">
            <w:r w:rsidRPr="009E2E60">
              <w:rPr>
                <w:noProof/>
                <w:sz w:val="20"/>
                <w:szCs w:val="20"/>
              </w:rPr>
              <w:fldChar w:fldCharType="begin">
                <w:ffData>
                  <w:name w:val="Text1"/>
                  <w:enabled/>
                  <w:calcOnExit w:val="0"/>
                  <w:textInput/>
                </w:ffData>
              </w:fldChar>
            </w:r>
            <w:r w:rsidRPr="009E2E60">
              <w:rPr>
                <w:noProof/>
                <w:sz w:val="20"/>
                <w:szCs w:val="20"/>
              </w:rPr>
              <w:instrText xml:space="preserve"> FORMTEXT </w:instrText>
            </w:r>
            <w:r w:rsidRPr="009E2E60">
              <w:rPr>
                <w:noProof/>
                <w:sz w:val="20"/>
                <w:szCs w:val="20"/>
              </w:rPr>
            </w:r>
            <w:r w:rsidRPr="009E2E60">
              <w:rPr>
                <w:noProof/>
                <w:sz w:val="20"/>
                <w:szCs w:val="20"/>
              </w:rPr>
              <w:fldChar w:fldCharType="separate"/>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r w:rsidR="00E3518E" w:rsidTr="009350D4">
        <w:trPr>
          <w:trHeight w:val="1440"/>
        </w:trPr>
        <w:tc>
          <w:tcPr>
            <w:tcW w:w="1160" w:type="dxa"/>
          </w:tcPr>
          <w:p w:rsidR="00E3518E" w:rsidRDefault="00E3518E" w:rsidP="009350D4">
            <w:r w:rsidRPr="008045C5">
              <w:rPr>
                <w:noProof/>
                <w:sz w:val="20"/>
                <w:szCs w:val="20"/>
              </w:rPr>
              <w:fldChar w:fldCharType="begin">
                <w:ffData>
                  <w:name w:val="Text1"/>
                  <w:enabled/>
                  <w:calcOnExit w:val="0"/>
                  <w:textInput>
                    <w:type w:val="date"/>
                  </w:textInput>
                </w:ffData>
              </w:fldChar>
            </w:r>
            <w:r w:rsidRPr="008045C5">
              <w:rPr>
                <w:noProof/>
                <w:sz w:val="20"/>
                <w:szCs w:val="20"/>
              </w:rPr>
              <w:instrText xml:space="preserve"> FORMTEXT </w:instrText>
            </w:r>
            <w:r w:rsidRPr="008045C5">
              <w:rPr>
                <w:noProof/>
                <w:sz w:val="20"/>
                <w:szCs w:val="20"/>
              </w:rPr>
            </w:r>
            <w:r w:rsidRPr="008045C5">
              <w:rPr>
                <w:noProof/>
                <w:sz w:val="20"/>
                <w:szCs w:val="20"/>
              </w:rPr>
              <w:fldChar w:fldCharType="separate"/>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t> </w:t>
            </w:r>
            <w:r w:rsidRPr="008045C5">
              <w:rPr>
                <w:noProof/>
                <w:sz w:val="20"/>
                <w:szCs w:val="20"/>
              </w:rPr>
              <w:fldChar w:fldCharType="end"/>
            </w:r>
          </w:p>
        </w:tc>
        <w:tc>
          <w:tcPr>
            <w:tcW w:w="2800" w:type="dxa"/>
          </w:tcPr>
          <w:p w:rsidR="00E3518E" w:rsidRDefault="00E3518E" w:rsidP="009350D4">
            <w:r w:rsidRPr="009E2E60">
              <w:rPr>
                <w:noProof/>
                <w:sz w:val="20"/>
                <w:szCs w:val="20"/>
              </w:rPr>
              <w:fldChar w:fldCharType="begin">
                <w:ffData>
                  <w:name w:val="Text1"/>
                  <w:enabled/>
                  <w:calcOnExit w:val="0"/>
                  <w:textInput/>
                </w:ffData>
              </w:fldChar>
            </w:r>
            <w:r w:rsidRPr="009E2E60">
              <w:rPr>
                <w:noProof/>
                <w:sz w:val="20"/>
                <w:szCs w:val="20"/>
              </w:rPr>
              <w:instrText xml:space="preserve"> FORMTEXT </w:instrText>
            </w:r>
            <w:r w:rsidRPr="009E2E60">
              <w:rPr>
                <w:noProof/>
                <w:sz w:val="20"/>
                <w:szCs w:val="20"/>
              </w:rPr>
            </w:r>
            <w:r w:rsidRPr="009E2E60">
              <w:rPr>
                <w:noProof/>
                <w:sz w:val="20"/>
                <w:szCs w:val="20"/>
              </w:rPr>
              <w:fldChar w:fldCharType="separate"/>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t> </w:t>
            </w:r>
            <w:r w:rsidRPr="009E2E60">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243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c>
          <w:tcPr>
            <w:tcW w:w="1890" w:type="dxa"/>
          </w:tcPr>
          <w:p w:rsidR="00E3518E" w:rsidRPr="00197701" w:rsidRDefault="00E3518E" w:rsidP="009350D4">
            <w:pPr>
              <w:rPr>
                <w:noProof/>
                <w:sz w:val="20"/>
                <w:szCs w:val="20"/>
              </w:rPr>
            </w:pPr>
          </w:p>
        </w:tc>
        <w:tc>
          <w:tcPr>
            <w:tcW w:w="3600" w:type="dxa"/>
          </w:tcPr>
          <w:p w:rsidR="00E3518E" w:rsidRDefault="00E3518E" w:rsidP="009350D4">
            <w:r w:rsidRPr="00197701">
              <w:rPr>
                <w:noProof/>
                <w:sz w:val="20"/>
                <w:szCs w:val="20"/>
              </w:rPr>
              <w:fldChar w:fldCharType="begin">
                <w:ffData>
                  <w:name w:val="Text1"/>
                  <w:enabled/>
                  <w:calcOnExit w:val="0"/>
                  <w:textInput/>
                </w:ffData>
              </w:fldChar>
            </w:r>
            <w:r w:rsidRPr="00197701">
              <w:rPr>
                <w:noProof/>
                <w:sz w:val="20"/>
                <w:szCs w:val="20"/>
              </w:rPr>
              <w:instrText xml:space="preserve"> FORMTEXT </w:instrText>
            </w:r>
            <w:r w:rsidRPr="00197701">
              <w:rPr>
                <w:noProof/>
                <w:sz w:val="20"/>
                <w:szCs w:val="20"/>
              </w:rPr>
            </w:r>
            <w:r w:rsidRPr="00197701">
              <w:rPr>
                <w:noProof/>
                <w:sz w:val="20"/>
                <w:szCs w:val="20"/>
              </w:rPr>
              <w:fldChar w:fldCharType="separate"/>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t> </w:t>
            </w:r>
            <w:r w:rsidRPr="00197701">
              <w:rPr>
                <w:noProof/>
                <w:sz w:val="20"/>
                <w:szCs w:val="20"/>
              </w:rPr>
              <w:fldChar w:fldCharType="end"/>
            </w:r>
          </w:p>
        </w:tc>
      </w:tr>
    </w:tbl>
    <w:p w:rsidR="00DA47C6" w:rsidRDefault="00DA47C6"/>
    <w:sectPr w:rsidR="00DA47C6" w:rsidSect="00FB7C96">
      <w:pgSz w:w="15840" w:h="12240" w:orient="landscape"/>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6FE6"/>
    <w:multiLevelType w:val="hybridMultilevel"/>
    <w:tmpl w:val="398A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524D"/>
    <w:multiLevelType w:val="hybridMultilevel"/>
    <w:tmpl w:val="6B52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F57FE1"/>
    <w:multiLevelType w:val="hybridMultilevel"/>
    <w:tmpl w:val="3FEE0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C3DCE"/>
    <w:multiLevelType w:val="multilevel"/>
    <w:tmpl w:val="B26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F137A"/>
    <w:multiLevelType w:val="hybridMultilevel"/>
    <w:tmpl w:val="BE66E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750EC"/>
    <w:multiLevelType w:val="hybridMultilevel"/>
    <w:tmpl w:val="8728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424188"/>
    <w:multiLevelType w:val="hybridMultilevel"/>
    <w:tmpl w:val="945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26EB1"/>
    <w:multiLevelType w:val="hybridMultilevel"/>
    <w:tmpl w:val="A948D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8F2099"/>
    <w:multiLevelType w:val="hybridMultilevel"/>
    <w:tmpl w:val="92A2E1C0"/>
    <w:lvl w:ilvl="0" w:tplc="04090001">
      <w:start w:val="1"/>
      <w:numFmt w:val="bullet"/>
      <w:lvlText w:val=""/>
      <w:lvlJc w:val="left"/>
      <w:pPr>
        <w:ind w:left="360" w:hanging="360"/>
      </w:pPr>
      <w:rPr>
        <w:rFonts w:ascii="Symbol" w:hAnsi="Symbol" w:hint="default"/>
        <w:w w:val="100"/>
        <w:sz w:val="22"/>
        <w:szCs w:val="22"/>
      </w:rPr>
    </w:lvl>
    <w:lvl w:ilvl="1" w:tplc="51B6196E">
      <w:start w:val="1"/>
      <w:numFmt w:val="lowerLetter"/>
      <w:lvlText w:val="%2."/>
      <w:lvlJc w:val="left"/>
      <w:pPr>
        <w:ind w:left="1080" w:hanging="360"/>
      </w:pPr>
      <w:rPr>
        <w:rFonts w:ascii="Calibri" w:eastAsia="Calibri" w:hAnsi="Calibri" w:hint="default"/>
        <w:spacing w:val="-1"/>
        <w:w w:val="100"/>
        <w:sz w:val="22"/>
        <w:szCs w:val="22"/>
      </w:rPr>
    </w:lvl>
    <w:lvl w:ilvl="2" w:tplc="12E4311E">
      <w:start w:val="1"/>
      <w:numFmt w:val="bullet"/>
      <w:lvlText w:val="•"/>
      <w:lvlJc w:val="left"/>
      <w:pPr>
        <w:ind w:left="2537" w:hanging="360"/>
      </w:pPr>
      <w:rPr>
        <w:rFonts w:hint="default"/>
      </w:rPr>
    </w:lvl>
    <w:lvl w:ilvl="3" w:tplc="BD54B3DA">
      <w:start w:val="1"/>
      <w:numFmt w:val="bullet"/>
      <w:lvlText w:val="•"/>
      <w:lvlJc w:val="left"/>
      <w:pPr>
        <w:ind w:left="3995" w:hanging="360"/>
      </w:pPr>
      <w:rPr>
        <w:rFonts w:hint="default"/>
      </w:rPr>
    </w:lvl>
    <w:lvl w:ilvl="4" w:tplc="355A051E">
      <w:start w:val="1"/>
      <w:numFmt w:val="bullet"/>
      <w:lvlText w:val="•"/>
      <w:lvlJc w:val="left"/>
      <w:pPr>
        <w:ind w:left="5453" w:hanging="360"/>
      </w:pPr>
      <w:rPr>
        <w:rFonts w:hint="default"/>
      </w:rPr>
    </w:lvl>
    <w:lvl w:ilvl="5" w:tplc="AAECD28A">
      <w:start w:val="1"/>
      <w:numFmt w:val="bullet"/>
      <w:lvlText w:val="•"/>
      <w:lvlJc w:val="left"/>
      <w:pPr>
        <w:ind w:left="6911" w:hanging="360"/>
      </w:pPr>
      <w:rPr>
        <w:rFonts w:hint="default"/>
      </w:rPr>
    </w:lvl>
    <w:lvl w:ilvl="6" w:tplc="8E68C7AE">
      <w:start w:val="1"/>
      <w:numFmt w:val="bullet"/>
      <w:lvlText w:val="•"/>
      <w:lvlJc w:val="left"/>
      <w:pPr>
        <w:ind w:left="8368" w:hanging="360"/>
      </w:pPr>
      <w:rPr>
        <w:rFonts w:hint="default"/>
      </w:rPr>
    </w:lvl>
    <w:lvl w:ilvl="7" w:tplc="F0048C02">
      <w:start w:val="1"/>
      <w:numFmt w:val="bullet"/>
      <w:lvlText w:val="•"/>
      <w:lvlJc w:val="left"/>
      <w:pPr>
        <w:ind w:left="9826" w:hanging="360"/>
      </w:pPr>
      <w:rPr>
        <w:rFonts w:hint="default"/>
      </w:rPr>
    </w:lvl>
    <w:lvl w:ilvl="8" w:tplc="C6065E80">
      <w:start w:val="1"/>
      <w:numFmt w:val="bullet"/>
      <w:lvlText w:val="•"/>
      <w:lvlJc w:val="left"/>
      <w:pPr>
        <w:ind w:left="11284" w:hanging="360"/>
      </w:pPr>
      <w:rPr>
        <w:rFonts w:hint="default"/>
      </w:rPr>
    </w:lvl>
  </w:abstractNum>
  <w:abstractNum w:abstractNumId="9" w15:restartNumberingAfterBreak="0">
    <w:nsid w:val="610416D9"/>
    <w:multiLevelType w:val="hybridMultilevel"/>
    <w:tmpl w:val="4A3A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903A89"/>
    <w:multiLevelType w:val="hybridMultilevel"/>
    <w:tmpl w:val="36C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81F56"/>
    <w:multiLevelType w:val="hybridMultilevel"/>
    <w:tmpl w:val="9B989996"/>
    <w:lvl w:ilvl="0" w:tplc="8F8462B0">
      <w:start w:val="1"/>
      <w:numFmt w:val="decimal"/>
      <w:lvlText w:val="%1."/>
      <w:lvlJc w:val="left"/>
      <w:pPr>
        <w:ind w:left="360" w:hanging="360"/>
      </w:pPr>
      <w:rPr>
        <w:rFonts w:ascii="Calibri" w:eastAsia="Calibri" w:hAnsi="Calibri" w:hint="default"/>
        <w:w w:val="100"/>
        <w:sz w:val="22"/>
        <w:szCs w:val="22"/>
      </w:rPr>
    </w:lvl>
    <w:lvl w:ilvl="1" w:tplc="51B6196E">
      <w:start w:val="1"/>
      <w:numFmt w:val="lowerLetter"/>
      <w:lvlText w:val="%2."/>
      <w:lvlJc w:val="left"/>
      <w:pPr>
        <w:ind w:left="1080" w:hanging="360"/>
      </w:pPr>
      <w:rPr>
        <w:rFonts w:ascii="Calibri" w:eastAsia="Calibri" w:hAnsi="Calibri" w:hint="default"/>
        <w:spacing w:val="-1"/>
        <w:w w:val="100"/>
        <w:sz w:val="22"/>
        <w:szCs w:val="22"/>
      </w:rPr>
    </w:lvl>
    <w:lvl w:ilvl="2" w:tplc="12E4311E">
      <w:start w:val="1"/>
      <w:numFmt w:val="bullet"/>
      <w:lvlText w:val="•"/>
      <w:lvlJc w:val="left"/>
      <w:pPr>
        <w:ind w:left="2537" w:hanging="360"/>
      </w:pPr>
      <w:rPr>
        <w:rFonts w:hint="default"/>
      </w:rPr>
    </w:lvl>
    <w:lvl w:ilvl="3" w:tplc="BD54B3DA">
      <w:start w:val="1"/>
      <w:numFmt w:val="bullet"/>
      <w:lvlText w:val="•"/>
      <w:lvlJc w:val="left"/>
      <w:pPr>
        <w:ind w:left="3995" w:hanging="360"/>
      </w:pPr>
      <w:rPr>
        <w:rFonts w:hint="default"/>
      </w:rPr>
    </w:lvl>
    <w:lvl w:ilvl="4" w:tplc="355A051E">
      <w:start w:val="1"/>
      <w:numFmt w:val="bullet"/>
      <w:lvlText w:val="•"/>
      <w:lvlJc w:val="left"/>
      <w:pPr>
        <w:ind w:left="5453" w:hanging="360"/>
      </w:pPr>
      <w:rPr>
        <w:rFonts w:hint="default"/>
      </w:rPr>
    </w:lvl>
    <w:lvl w:ilvl="5" w:tplc="AAECD28A">
      <w:start w:val="1"/>
      <w:numFmt w:val="bullet"/>
      <w:lvlText w:val="•"/>
      <w:lvlJc w:val="left"/>
      <w:pPr>
        <w:ind w:left="6911" w:hanging="360"/>
      </w:pPr>
      <w:rPr>
        <w:rFonts w:hint="default"/>
      </w:rPr>
    </w:lvl>
    <w:lvl w:ilvl="6" w:tplc="8E68C7AE">
      <w:start w:val="1"/>
      <w:numFmt w:val="bullet"/>
      <w:lvlText w:val="•"/>
      <w:lvlJc w:val="left"/>
      <w:pPr>
        <w:ind w:left="8368" w:hanging="360"/>
      </w:pPr>
      <w:rPr>
        <w:rFonts w:hint="default"/>
      </w:rPr>
    </w:lvl>
    <w:lvl w:ilvl="7" w:tplc="F0048C02">
      <w:start w:val="1"/>
      <w:numFmt w:val="bullet"/>
      <w:lvlText w:val="•"/>
      <w:lvlJc w:val="left"/>
      <w:pPr>
        <w:ind w:left="9826" w:hanging="360"/>
      </w:pPr>
      <w:rPr>
        <w:rFonts w:hint="default"/>
      </w:rPr>
    </w:lvl>
    <w:lvl w:ilvl="8" w:tplc="C6065E80">
      <w:start w:val="1"/>
      <w:numFmt w:val="bullet"/>
      <w:lvlText w:val="•"/>
      <w:lvlJc w:val="left"/>
      <w:pPr>
        <w:ind w:left="11284" w:hanging="360"/>
      </w:pPr>
      <w:rPr>
        <w:rFonts w:hint="default"/>
      </w:r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6"/>
  </w:num>
  <w:num w:numId="8">
    <w:abstractNumId w:val="11"/>
  </w:num>
  <w:num w:numId="9">
    <w:abstractNumId w:val="8"/>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01"/>
    <w:rsid w:val="00024A07"/>
    <w:rsid w:val="000621CC"/>
    <w:rsid w:val="000636A6"/>
    <w:rsid w:val="000A1541"/>
    <w:rsid w:val="000F49F9"/>
    <w:rsid w:val="001773AF"/>
    <w:rsid w:val="0018410F"/>
    <w:rsid w:val="001F14D4"/>
    <w:rsid w:val="00217911"/>
    <w:rsid w:val="002B3F79"/>
    <w:rsid w:val="00325E74"/>
    <w:rsid w:val="00327294"/>
    <w:rsid w:val="00347C81"/>
    <w:rsid w:val="00371D14"/>
    <w:rsid w:val="0039097D"/>
    <w:rsid w:val="003A1640"/>
    <w:rsid w:val="003F3C01"/>
    <w:rsid w:val="00405224"/>
    <w:rsid w:val="004170A2"/>
    <w:rsid w:val="00470A77"/>
    <w:rsid w:val="00474DF3"/>
    <w:rsid w:val="004909CD"/>
    <w:rsid w:val="004A5C65"/>
    <w:rsid w:val="004B3361"/>
    <w:rsid w:val="004E6EFF"/>
    <w:rsid w:val="004F26F1"/>
    <w:rsid w:val="0055740A"/>
    <w:rsid w:val="0057749C"/>
    <w:rsid w:val="005A1317"/>
    <w:rsid w:val="005F51F5"/>
    <w:rsid w:val="00626D0A"/>
    <w:rsid w:val="006319B2"/>
    <w:rsid w:val="00632CE9"/>
    <w:rsid w:val="006443D5"/>
    <w:rsid w:val="00663F99"/>
    <w:rsid w:val="00674CDE"/>
    <w:rsid w:val="00697E51"/>
    <w:rsid w:val="0072679B"/>
    <w:rsid w:val="00801319"/>
    <w:rsid w:val="008266DD"/>
    <w:rsid w:val="00843152"/>
    <w:rsid w:val="0086711E"/>
    <w:rsid w:val="008E4844"/>
    <w:rsid w:val="009135FD"/>
    <w:rsid w:val="00923864"/>
    <w:rsid w:val="00927E9B"/>
    <w:rsid w:val="009413B6"/>
    <w:rsid w:val="009450FD"/>
    <w:rsid w:val="00964A58"/>
    <w:rsid w:val="00975E99"/>
    <w:rsid w:val="00981FAB"/>
    <w:rsid w:val="00984792"/>
    <w:rsid w:val="009A0192"/>
    <w:rsid w:val="00A01686"/>
    <w:rsid w:val="00A80870"/>
    <w:rsid w:val="00A86E7B"/>
    <w:rsid w:val="00BC51C8"/>
    <w:rsid w:val="00BF5FF6"/>
    <w:rsid w:val="00C10572"/>
    <w:rsid w:val="00C16A03"/>
    <w:rsid w:val="00C23F7B"/>
    <w:rsid w:val="00C57BE1"/>
    <w:rsid w:val="00C76DF0"/>
    <w:rsid w:val="00C8761E"/>
    <w:rsid w:val="00CC3AB9"/>
    <w:rsid w:val="00CC4833"/>
    <w:rsid w:val="00CD362C"/>
    <w:rsid w:val="00D008F8"/>
    <w:rsid w:val="00D752F7"/>
    <w:rsid w:val="00D942E5"/>
    <w:rsid w:val="00DA47C6"/>
    <w:rsid w:val="00E17479"/>
    <w:rsid w:val="00E3250E"/>
    <w:rsid w:val="00E3518E"/>
    <w:rsid w:val="00E448A5"/>
    <w:rsid w:val="00E723A6"/>
    <w:rsid w:val="00ED3AAE"/>
    <w:rsid w:val="00EE6F1A"/>
    <w:rsid w:val="00F01BCB"/>
    <w:rsid w:val="00FB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EBDEF-945A-43D7-A8FD-A850AEB7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3C01"/>
    <w:pPr>
      <w:ind w:left="720"/>
      <w:contextualSpacing/>
    </w:pPr>
  </w:style>
  <w:style w:type="character" w:styleId="Hyperlink">
    <w:name w:val="Hyperlink"/>
    <w:basedOn w:val="DefaultParagraphFont"/>
    <w:uiPriority w:val="99"/>
    <w:unhideWhenUsed/>
    <w:rsid w:val="00927E9B"/>
    <w:rPr>
      <w:color w:val="0563C1" w:themeColor="hyperlink"/>
      <w:u w:val="single"/>
    </w:rPr>
  </w:style>
  <w:style w:type="character" w:styleId="FollowedHyperlink">
    <w:name w:val="FollowedHyperlink"/>
    <w:basedOn w:val="DefaultParagraphFont"/>
    <w:uiPriority w:val="99"/>
    <w:semiHidden/>
    <w:unhideWhenUsed/>
    <w:rsid w:val="009A0192"/>
    <w:rPr>
      <w:color w:val="954F72" w:themeColor="followedHyperlink"/>
      <w:u w:val="single"/>
    </w:rPr>
  </w:style>
  <w:style w:type="paragraph" w:styleId="BalloonText">
    <w:name w:val="Balloon Text"/>
    <w:basedOn w:val="Normal"/>
    <w:link w:val="BalloonTextChar"/>
    <w:uiPriority w:val="99"/>
    <w:semiHidden/>
    <w:unhideWhenUsed/>
    <w:rsid w:val="00BC5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C8"/>
    <w:rPr>
      <w:rFonts w:ascii="Segoe UI" w:hAnsi="Segoe UI" w:cs="Segoe UI"/>
      <w:sz w:val="18"/>
      <w:szCs w:val="18"/>
    </w:rPr>
  </w:style>
  <w:style w:type="paragraph" w:styleId="NormalWeb">
    <w:name w:val="Normal (Web)"/>
    <w:basedOn w:val="Normal"/>
    <w:uiPriority w:val="99"/>
    <w:semiHidden/>
    <w:unhideWhenUsed/>
    <w:rsid w:val="00C16A0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71D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162">
      <w:bodyDiv w:val="1"/>
      <w:marLeft w:val="0"/>
      <w:marRight w:val="0"/>
      <w:marTop w:val="0"/>
      <w:marBottom w:val="0"/>
      <w:divBdr>
        <w:top w:val="none" w:sz="0" w:space="0" w:color="auto"/>
        <w:left w:val="none" w:sz="0" w:space="0" w:color="auto"/>
        <w:bottom w:val="none" w:sz="0" w:space="0" w:color="auto"/>
        <w:right w:val="none" w:sz="0" w:space="0" w:color="auto"/>
      </w:divBdr>
    </w:div>
    <w:div w:id="1261596739">
      <w:bodyDiv w:val="1"/>
      <w:marLeft w:val="0"/>
      <w:marRight w:val="0"/>
      <w:marTop w:val="0"/>
      <w:marBottom w:val="0"/>
      <w:divBdr>
        <w:top w:val="none" w:sz="0" w:space="0" w:color="auto"/>
        <w:left w:val="none" w:sz="0" w:space="0" w:color="auto"/>
        <w:bottom w:val="none" w:sz="0" w:space="0" w:color="auto"/>
        <w:right w:val="none" w:sz="0" w:space="0" w:color="auto"/>
      </w:divBdr>
    </w:div>
    <w:div w:id="15810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pubs/ada.htm" TargetMode="External"/><Relationship Id="rId13" Type="http://schemas.openxmlformats.org/officeDocument/2006/relationships/hyperlink" Target="http://clerycenter.org/sites/default/files/Jeanne%20Clery%20Act%20Full%20Text.pdf" TargetMode="External"/><Relationship Id="rId18" Type="http://schemas.openxmlformats.org/officeDocument/2006/relationships/hyperlink" Target="http://www.ada.gov/pubs/ada.htm" TargetMode="External"/><Relationship Id="rId26" Type="http://schemas.openxmlformats.org/officeDocument/2006/relationships/hyperlink" Target="http://www.justice.gov/crt/title-vi-civil-rights-act-1964-42-usc-2000d-et-seq" TargetMode="External"/><Relationship Id="rId3" Type="http://schemas.openxmlformats.org/officeDocument/2006/relationships/settings" Target="settings.xml"/><Relationship Id="rId21" Type="http://schemas.openxmlformats.org/officeDocument/2006/relationships/hyperlink" Target="http://clerycenter.org/sites/default/files/Jeanne%20Clery%20Act%20Full%20Text.pdf" TargetMode="External"/><Relationship Id="rId7" Type="http://schemas.openxmlformats.org/officeDocument/2006/relationships/hyperlink" Target="http://www.dol.gov/oasam/regs/statutes/age_act.htm" TargetMode="External"/><Relationship Id="rId12" Type="http://schemas.openxmlformats.org/officeDocument/2006/relationships/hyperlink" Target="http://www.law.cornell.edu/uscode/text/20/1232g" TargetMode="External"/><Relationship Id="rId17" Type="http://schemas.openxmlformats.org/officeDocument/2006/relationships/hyperlink" Target="http://www.dol.gov/oasam/regs/statutes/age_act.htmhttp:/www.dol.gov/oasam/regs/statutes/age_act.htm" TargetMode="External"/><Relationship Id="rId25" Type="http://schemas.openxmlformats.org/officeDocument/2006/relationships/hyperlink" Target="http://www.njcaa.org/landing/index" TargetMode="External"/><Relationship Id="rId2" Type="http://schemas.openxmlformats.org/officeDocument/2006/relationships/styles" Target="styles.xml"/><Relationship Id="rId16" Type="http://schemas.openxmlformats.org/officeDocument/2006/relationships/hyperlink" Target="https://hr.maricopa.edu/supervisor-tools/policies" TargetMode="External"/><Relationship Id="rId20" Type="http://schemas.openxmlformats.org/officeDocument/2006/relationships/hyperlink" Target="http://www.state.gov/documents/organization/1049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ancellor.maricopa.edu/public-stewardship/governance/administrative-regulations/2-students/2.5-student-rights-and-responsibilities/2.5.2-student-conduct-code" TargetMode="External"/><Relationship Id="rId11" Type="http://schemas.openxmlformats.org/officeDocument/2006/relationships/hyperlink" Target="http://www.dol.gov/oasam/regs/statutes/titlevi.htm" TargetMode="External"/><Relationship Id="rId24" Type="http://schemas.openxmlformats.org/officeDocument/2006/relationships/hyperlink" Target="https://hr.maricopa.edu/supervisor-tools/policies" TargetMode="External"/><Relationship Id="rId5" Type="http://schemas.openxmlformats.org/officeDocument/2006/relationships/hyperlink" Target="http://www.higheredcompliance.org/matrix/" TargetMode="External"/><Relationship Id="rId15" Type="http://schemas.openxmlformats.org/officeDocument/2006/relationships/hyperlink" Target="https://administration.maricopa.edu/management-administration-technology-mat/policy/general-information" TargetMode="External"/><Relationship Id="rId23" Type="http://schemas.openxmlformats.org/officeDocument/2006/relationships/hyperlink" Target="https://hr.maricopa.edu/supervisor-tools/policies" TargetMode="External"/><Relationship Id="rId28" Type="http://schemas.openxmlformats.org/officeDocument/2006/relationships/fontTable" Target="fontTable.xml"/><Relationship Id="rId10" Type="http://schemas.openxmlformats.org/officeDocument/2006/relationships/hyperlink" Target="http://www.dol.gov/oasam/regs/statutes/titleix.htm" TargetMode="External"/><Relationship Id="rId19" Type="http://schemas.openxmlformats.org/officeDocument/2006/relationships/hyperlink" Target="http://www.dol.gov/oasam/regs/statutes/sec504.htm" TargetMode="External"/><Relationship Id="rId4" Type="http://schemas.openxmlformats.org/officeDocument/2006/relationships/webSettings" Target="webSettings.xml"/><Relationship Id="rId9" Type="http://schemas.openxmlformats.org/officeDocument/2006/relationships/hyperlink" Target="http://www.dol.gov/oasam/regs/statutes/sec504.htm" TargetMode="External"/><Relationship Id="rId14" Type="http://schemas.openxmlformats.org/officeDocument/2006/relationships/hyperlink" Target="http://www.njcaa.org/landing/index" TargetMode="External"/><Relationship Id="rId22" Type="http://schemas.openxmlformats.org/officeDocument/2006/relationships/hyperlink" Target="http://www.law.cornell.edu/uscode/text/20/1232g" TargetMode="External"/><Relationship Id="rId27" Type="http://schemas.openxmlformats.org/officeDocument/2006/relationships/hyperlink" Target="http://www.dol.gov/oasam/regs/statutes/titlei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Jepsen,Cynthia K.</dc:creator>
  <cp:keywords/>
  <dc:description/>
  <cp:lastModifiedBy>Jepsen,Cynthia K.</cp:lastModifiedBy>
  <cp:revision>57</cp:revision>
  <cp:lastPrinted>2015-12-02T22:32:00Z</cp:lastPrinted>
  <dcterms:created xsi:type="dcterms:W3CDTF">2015-10-30T23:03:00Z</dcterms:created>
  <dcterms:modified xsi:type="dcterms:W3CDTF">2016-10-10T15:42:00Z</dcterms:modified>
</cp:coreProperties>
</file>